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rFonts w:ascii="Times New Roman" w:hAnsi="Times New Roman"/>
          <w:sz w:val="20"/>
        </w:rPr>
      </w:pPr>
      <w:bookmarkStart w:id="0" w:name="para20261016_8k.htm"/>
      <w:bookmarkStart w:id="1" w:name="kspara20261016_8k"/>
      <w:bookmarkEnd w:id="0"/>
      <w:bookmarkEnd w:id="1"/>
      <w:r>
        <w:rPr>
          <w:rFonts w:ascii="Times New Roman" w:hAnsi="Times New Roman"/>
          <w:sz w:val="20"/>
        </w:rPr>
        <w:t xml:space="preserve">--12-31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UNITED STATES</w:t>
      </w:r>
      <w:r>
        <w:rPr>
          <w:rFonts w:ascii="Times New Roman" w:hAnsi="Times New Roman"/>
          <w:caps w:val="false"/>
          <w:smallCaps w:val="false"/>
          <w:sz w:val="28"/>
        </w:rPr>
        <w:t> </w:t>
        <w:br/>
      </w:r>
      <w:r>
        <w:rPr>
          <w:rFonts w:ascii="Times New Roman" w:hAnsi="Times New Roman"/>
          <w:b/>
          <w:caps w:val="false"/>
          <w:smallCaps w:val="false"/>
          <w:sz w:val="28"/>
        </w:rPr>
        <w:t>SECURITIES AND EXCHANGE COMMISSION</w:t>
      </w:r>
      <w:r>
        <w:rPr>
          <w:rFonts w:ascii="Times New Roman" w:hAnsi="Times New Roman"/>
          <w:caps w:val="false"/>
          <w:smallCaps w:val="false"/>
          <w:sz w:val="28"/>
        </w:rPr>
        <w:t> </w:t>
        <w:br/>
      </w:r>
      <w:r>
        <w:rPr>
          <w:rFonts w:ascii="Times New Roman" w:hAnsi="Times New Roman"/>
          <w:b/>
          <w:caps w:val="false"/>
          <w:smallCaps w:val="false"/>
          <w:sz w:val="28"/>
        </w:rPr>
        <w:t>Washington, D.C. 20549</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FORM 8-K</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CURRENT REPORT</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Pursuant to Section 13 OR 15(d) of The Securities Exchange Act of 1934</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5360"/>
      </w:tblGrid>
      <w:tr>
        <w:trPr/>
        <w:tc>
          <w:tcPr>
            <w:tcW w:w="53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October 16,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Banzai International, Inc.</w:t>
      </w:r>
      <w:r>
        <w:rPr>
          <w:rFonts w:ascii="Times New Roman" w:hAnsi="Times New Roman"/>
          <w:caps w:val="false"/>
          <w:smallCaps w:val="false"/>
          <w:sz w:val="48"/>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2195"/>
        <w:gridCol w:w="4880"/>
        <w:gridCol w:w="1520"/>
      </w:tblGrid>
      <w:tr>
        <w:trPr/>
        <w:tc>
          <w:tcPr>
            <w:tcW w:w="21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48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001-39826</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85-3118980</w:t>
            </w:r>
          </w:p>
        </w:tc>
      </w:tr>
      <w:tr>
        <w:trPr/>
        <w:tc>
          <w:tcPr>
            <w:tcW w:w="21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4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2195" w:type="dxa"/>
            <w:tcBorders/>
            <w:vAlign w:val="center"/>
          </w:tcPr>
          <w:p>
            <w:pPr>
              <w:pStyle w:val="TableContents"/>
              <w:bidi w:val="0"/>
              <w:spacing w:before="0" w:after="0"/>
              <w:ind w:left="0" w:right="0" w:hanging="0"/>
              <w:jc w:val="left"/>
              <w:rPr/>
            </w:pPr>
            <w:r>
              <w:rPr/>
              <w:t> </w:t>
            </w:r>
          </w:p>
        </w:tc>
        <w:tc>
          <w:tcPr>
            <w:tcW w:w="488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pPr>
            <w:r>
              <w:rPr/>
              <w:t> </w:t>
            </w:r>
          </w:p>
        </w:tc>
        <w:tc>
          <w:tcPr>
            <w:tcW w:w="48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435 Eriksen Ave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Suite 250</w:t>
            </w:r>
          </w:p>
        </w:tc>
        <w:tc>
          <w:tcPr>
            <w:tcW w:w="1520"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pPr>
            <w:r>
              <w:rPr/>
              <w:t> </w:t>
            </w:r>
          </w:p>
        </w:tc>
        <w:tc>
          <w:tcPr>
            <w:tcW w:w="4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Bainbridge Island, Washington</w:t>
            </w:r>
            <w:r>
              <w:rPr>
                <w:rFonts w:ascii="Times New Roman" w:hAnsi="Times New Roman"/>
                <w:caps w:val="false"/>
                <w:smallCaps w:val="false"/>
                <w:sz w:val="20"/>
              </w:rPr>
              <w:t> </w:t>
            </w:r>
            <w:r>
              <w:rPr>
                <w:rFonts w:ascii="Times New Roman" w:hAnsi="Times New Roman"/>
                <w:b/>
                <w:caps w:val="false"/>
                <w:smallCaps w:val="false"/>
                <w:sz w:val="20"/>
              </w:rPr>
              <w:t>98110</w:t>
            </w:r>
          </w:p>
        </w:tc>
        <w:tc>
          <w:tcPr>
            <w:tcW w:w="1520"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pPr>
            <w:r>
              <w:rPr/>
              <w:t> </w:t>
            </w:r>
          </w:p>
        </w:tc>
        <w:tc>
          <w:tcPr>
            <w:tcW w:w="4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including zip code)</w:t>
            </w:r>
          </w:p>
        </w:tc>
        <w:tc>
          <w:tcPr>
            <w:tcW w:w="1520"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left"/>
              <w:rPr/>
            </w:pPr>
            <w:r>
              <w:rPr/>
              <w:t> </w:t>
            </w:r>
          </w:p>
        </w:tc>
        <w:tc>
          <w:tcPr>
            <w:tcW w:w="488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left"/>
              <w:rPr/>
            </w:pPr>
            <w:r>
              <w:rPr/>
              <w:t> </w:t>
            </w:r>
          </w:p>
        </w:tc>
      </w:tr>
      <w:tr>
        <w:trPr/>
        <w:tc>
          <w:tcPr>
            <w:tcW w:w="8595"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b/>
                <w:caps w:val="false"/>
                <w:smallCaps w:val="false"/>
                <w:sz w:val="20"/>
              </w:rPr>
              <w:t>(206)</w:t>
            </w:r>
            <w:r>
              <w:rPr>
                <w:rFonts w:ascii="Times New Roman" w:hAnsi="Times New Roman"/>
                <w:caps w:val="false"/>
                <w:smallCaps w:val="false"/>
                <w:sz w:val="20"/>
              </w:rPr>
              <w:t> </w:t>
            </w:r>
            <w:r>
              <w:rPr>
                <w:rFonts w:ascii="Times New Roman" w:hAnsi="Times New Roman"/>
                <w:b/>
                <w:caps w:val="false"/>
                <w:smallCaps w:val="false"/>
                <w:sz w:val="20"/>
              </w:rPr>
              <w:t>414-1777</w:t>
            </w:r>
          </w:p>
        </w:tc>
      </w:tr>
      <w:tr>
        <w:trPr/>
        <w:tc>
          <w:tcPr>
            <w:tcW w:w="8595" w:type="dxa"/>
            <w:gridSpan w:val="3"/>
            <w:tcBorders/>
            <w:vAlign w:val="center"/>
          </w:tcPr>
          <w:p>
            <w:pPr>
              <w:pStyle w:val="TableContents"/>
              <w:bidi w:val="0"/>
              <w:spacing w:before="0" w:after="0"/>
              <w:ind w:left="0" w:right="0" w:hanging="0"/>
              <w:jc w:val="left"/>
              <w:rPr/>
            </w:pPr>
            <w:r>
              <w:rPr/>
              <w:t> </w:t>
            </w:r>
          </w:p>
        </w:tc>
      </w:tr>
      <w:tr>
        <w:trPr/>
        <w:tc>
          <w:tcPr>
            <w:tcW w:w="8595"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658" w:type="dxa"/>
        <w:jc w:val="left"/>
        <w:tblInd w:w="0" w:type="dxa"/>
        <w:tblLayout w:type="fixed"/>
        <w:tblCellMar>
          <w:top w:w="28" w:type="dxa"/>
          <w:left w:w="28" w:type="dxa"/>
          <w:bottom w:w="28" w:type="dxa"/>
          <w:right w:w="28" w:type="dxa"/>
        </w:tblCellMar>
      </w:tblPr>
      <w:tblGrid>
        <w:gridCol w:w="161"/>
        <w:gridCol w:w="316"/>
        <w:gridCol w:w="918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50"/>
        <w:gridCol w:w="60"/>
        <w:gridCol w:w="821"/>
        <w:gridCol w:w="60"/>
        <w:gridCol w:w="2814"/>
      </w:tblGrid>
      <w:tr>
        <w:trPr/>
        <w:tc>
          <w:tcPr>
            <w:tcW w:w="64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t> </w:t>
              <w:br/>
            </w: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14"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64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2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r>
        <w:trPr/>
        <w:tc>
          <w:tcPr>
            <w:tcW w:w="64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Redeemable Warrants, each whole warrant exercisable for one share of Class A common stock at an exercise price of $115,000.00</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2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PARAW</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2225"/>
        <w:gridCol w:w="230"/>
      </w:tblGrid>
      <w:tr>
        <w:trPr/>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5552" w:type="dxa"/>
        <w:jc w:val="left"/>
        <w:tblInd w:w="0" w:type="dxa"/>
        <w:tblLayout w:type="fixed"/>
        <w:tblCellMar>
          <w:top w:w="28" w:type="dxa"/>
          <w:left w:w="28" w:type="dxa"/>
          <w:bottom w:w="28" w:type="dxa"/>
          <w:right w:w="28" w:type="dxa"/>
        </w:tblCellMar>
      </w:tblPr>
      <w:tblGrid>
        <w:gridCol w:w="916"/>
        <w:gridCol w:w="463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3.03</w:t>
            </w:r>
          </w:p>
        </w:tc>
        <w:tc>
          <w:tcPr>
            <w:tcW w:w="463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Material Modifications to Rights of Security Holders.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October 16, 2026, following the shareholders’ approval of the Reverse Split Proposal noted below in Item 5.07, at the special meeting of shareholders held on October 16, 2026 (the “Meeting”), the Board of Directors (the “Board”) of Banzai International, Inc. (the “Company”) determined to effect a reverse stock split of the Company’s outstanding Class A Common Stock, $0.0001 par value per share (the “Class A Common Stock”) and Class B Common Stock, $0.0001 par value per share (the “Class B Common Stock,” together with the Class A Common Stock, the “Common Stock”), at a ratio of 1-for-10 (the “Reverse Stock Split”). On that same day, the Company approved an amendment to the Company’s Certificate of Incorporation, as amended and restated (the “COI”), to effect the Reverse Stock Split and filed the Certificate of Amendment to its COI with the Secretary of State of Delaware (the “Certificate of Amendment”), for the Reverse Stock Split. Trading of the Class A Common Stock on The Nasdaq Capital Market on a split-adjusted basis is expected to begin on October 27, 2026.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a result of the Reverse Stock Split, every ten shares of Common Stock will be combined into one share of the respective class of Common Stock and the total number of shares of Class A Common Stock and Class B Common Stock outstanding will be reduced from approximately 5,061,208 and 149,821 shares, to 506,121 and 14,983 shares, respectively, based on the number of shares outstanding as of October 21, 2026. No fractional shares will be issued in connection with the Reverse Stock Split, and no stockholder will receive cash in lieu thereof. Any fractional shares that would otherwise be issued as a result of the Reverse Stock Split will be rounded up to a whole share.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Class A Common Stock will continue to be traded under the symbol PARA. A new CUSIP number has been issued for the Class A Common Stock (06682J803) to replace the old CUSIP number (06682J605). The Company’s stockholders should not send their stock certificates to the Company. Stockholders will be notified by the Company’s transfer agent, Continental Stock Transfer &amp; Trust, regarding the process for exchanging existing stock certificates representing pre-split shares. Stockholders who are holding their shares in electronic form at brokerage firms do not have to take any action as the effect of the Reverse Stock Split will automatically be reflected in their brokerage accounts.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accordance with Nasdaq listing rules, the Company will file a subsequent Current Report on Form 8-K to formally announce the effective time and date of the Reverse Stock Split, as well as disclose the new CUSIP number for its stock.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above description of the Certificate of Amendment and the Reverse Stock Split is qualified in its entirety by reference to the Certificate of Amendment, a copy of which is attached hereto as Exhibit 3.1.</w:t>
      </w:r>
    </w:p>
    <w:p>
      <w:pPr>
        <w:pStyle w:val="TextBody"/>
        <w:bidi w:val="0"/>
        <w:spacing w:before="0" w:after="0"/>
        <w:ind w:left="0" w:right="0" w:hanging="0"/>
        <w:jc w:val="left"/>
        <w:rPr/>
      </w:pPr>
      <w:r>
        <w:rPr/>
        <w:t> </w:t>
      </w:r>
    </w:p>
    <w:tbl>
      <w:tblPr>
        <w:tblW w:w="5477" w:type="dxa"/>
        <w:jc w:val="left"/>
        <w:tblInd w:w="0" w:type="dxa"/>
        <w:tblLayout w:type="fixed"/>
        <w:tblCellMar>
          <w:top w:w="28" w:type="dxa"/>
          <w:left w:w="28" w:type="dxa"/>
          <w:bottom w:w="28" w:type="dxa"/>
          <w:right w:w="28" w:type="dxa"/>
        </w:tblCellMar>
      </w:tblPr>
      <w:tblGrid>
        <w:gridCol w:w="916"/>
        <w:gridCol w:w="4561"/>
      </w:tblGrid>
      <w:tr>
        <w:trPr/>
        <w:tc>
          <w:tcPr>
            <w:tcW w:w="91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5.03</w:t>
            </w:r>
          </w:p>
        </w:tc>
        <w:tc>
          <w:tcPr>
            <w:tcW w:w="456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Amendments to Articles of Incorporation or Bylaws.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description of the Certificate of Amendment and the Reverse Stock Split set forth in Item 3.03 of this Current Report is incorporated herein by reference.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September 25, 2026, the Board passed a resolution to approve changing the Company's legal name from "Banzai International, Inc.” to "Parabolic Technologies, Inc." (the “Name Change”).  Following the shareholders' approval of the Name Change at the Meeting, the Company filed a certificate of amendment reflecting the Name Change with the Secretary of State of the State of Delaware on October 16, 2026. The Company's common stock will continue trading on the Nasdaq Capital Market under the new corporate name, effective at the opening of trading on October 27, 2026, under the existing trading symbol PARA, subject to final processing and confirmation by Nasdaq. The above description of the Certificate of Amendment and the Name Change is qualified in its entirety by reference to the Certificate of Amendment, a copy of which is attached hereto as Exhibit 3.2.</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62" w:type="dxa"/>
        <w:jc w:val="left"/>
        <w:tblInd w:w="0" w:type="dxa"/>
        <w:tblLayout w:type="fixed"/>
        <w:tblCellMar>
          <w:top w:w="28" w:type="dxa"/>
          <w:left w:w="28" w:type="dxa"/>
          <w:bottom w:w="28" w:type="dxa"/>
          <w:right w:w="28" w:type="dxa"/>
        </w:tblCellMar>
      </w:tblPr>
      <w:tblGrid>
        <w:gridCol w:w="916"/>
        <w:gridCol w:w="454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5.07</w:t>
            </w:r>
          </w:p>
        </w:tc>
        <w:tc>
          <w:tcPr>
            <w:tcW w:w="454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Meeting, the Company’s shareholders voted on five proposals, including one to approve an adjournment, if necessary. At the beginning of the Meeting, 791,790 Class A shares and 149,821 Class B shares, which collectively represent 39.09% of the voting power of the shares entitled to vote at the Meeting, were represented by proxy, which constituted a quorum for the transaction of business. Since there were sufficient votes to approve the other proposals, the Company did not need to adjourn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proposals were voted on at the Meeting, along with the voting results for each proposal: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0"/>
              <w:ind w:left="0" w:right="0" w:hanging="0"/>
              <w:jc w:val="left"/>
              <w:rPr/>
            </w:pPr>
            <w:r>
              <w:rPr/>
              <w:t> </w:t>
            </w:r>
          </w:p>
        </w:tc>
        <w:tc>
          <w:tcPr>
            <w:tcW w:w="1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authorize, for purposes of complying with Nasdaq Listing Rule 5635(a), the issuance of shares of the Company’s Class A Common Stock, including upon the exercise of pre-funded warrants, issuable pursuant to that certain Asset Purchase Agreement, dated as of July 2, 2026, by and among the Company, Banzai CS Acquisition, Inc. and ConnectAndSell, Inc., in an amount equal to or in excess of 20% of all of the Company’s Class A Common Stock and Class B Common Stock outstanding immediately prior to the closing of the transactions contemplated by the APA (the “Asset Purchase Issuance Proposal”).</w:t>
            </w:r>
          </w:p>
        </w:tc>
      </w:tr>
    </w:tbl>
    <w:p>
      <w:pPr>
        <w:pStyle w:val="TextBody"/>
        <w:bidi w:val="0"/>
        <w:spacing w:before="0" w:after="0"/>
        <w:ind w:left="0" w:right="0" w:hanging="0"/>
        <w:jc w:val="left"/>
        <w:rPr>
          <w:caps w:val="false"/>
          <w:smallCaps w:val="false"/>
        </w:rPr>
      </w:pPr>
      <w:r>
        <w:rPr>
          <w:caps w:val="false"/>
          <w:smallCaps w:val="false"/>
        </w:rPr>
        <w:t> </w:t>
      </w:r>
    </w:p>
    <w:tbl>
      <w:tblPr>
        <w:tblW w:w="2655" w:type="dxa"/>
        <w:jc w:val="left"/>
        <w:tblInd w:w="0" w:type="dxa"/>
        <w:tblLayout w:type="fixed"/>
        <w:tblCellMar>
          <w:top w:w="0" w:type="dxa"/>
          <w:left w:w="0" w:type="dxa"/>
          <w:bottom w:w="28" w:type="dxa"/>
          <w:right w:w="0" w:type="dxa"/>
        </w:tblCellMar>
      </w:tblPr>
      <w:tblGrid>
        <w:gridCol w:w="60"/>
        <w:gridCol w:w="845"/>
        <w:gridCol w:w="60"/>
        <w:gridCol w:w="60"/>
        <w:gridCol w:w="60"/>
        <w:gridCol w:w="61"/>
        <w:gridCol w:w="604"/>
        <w:gridCol w:w="60"/>
        <w:gridCol w:w="60"/>
        <w:gridCol w:w="60"/>
        <w:gridCol w:w="73"/>
        <w:gridCol w:w="592"/>
        <w:gridCol w:w="60"/>
      </w:tblGrid>
      <w:tr>
        <w:trPr/>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2,248,895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1" w:type="dxa"/>
            <w:tcBorders/>
            <w:shd w:fill="CCEEFF" w:val="clear"/>
            <w:tcMar>
              <w:bottom w:w="0" w:type="dxa"/>
            </w:tcMar>
            <w:vAlign w:val="center"/>
          </w:tcPr>
          <w:p>
            <w:pPr>
              <w:pStyle w:val="TableContents"/>
              <w:bidi w:val="0"/>
              <w:spacing w:before="0" w:after="0"/>
              <w:ind w:left="0" w:right="0" w:hanging="0"/>
              <w:jc w:val="left"/>
              <w:rPr/>
            </w:pPr>
            <w:r>
              <w:rPr/>
              <w:t> </w:t>
            </w:r>
          </w:p>
        </w:tc>
        <w:tc>
          <w:tcPr>
            <w:tcW w:w="60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38,700</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73" w:type="dxa"/>
            <w:tcBorders/>
            <w:shd w:fill="CCEEFF" w:val="clear"/>
            <w:tcMar>
              <w:bottom w:w="0" w:type="dxa"/>
            </w:tcMar>
            <w:vAlign w:val="center"/>
          </w:tcPr>
          <w:p>
            <w:pPr>
              <w:pStyle w:val="TableContents"/>
              <w:bidi w:val="0"/>
              <w:spacing w:before="0" w:after="0"/>
              <w:ind w:left="0" w:right="0" w:hanging="0"/>
              <w:jc w:val="left"/>
              <w:rPr/>
            </w:pPr>
            <w:r>
              <w:rPr/>
              <w:t> </w:t>
            </w:r>
          </w:p>
        </w:tc>
        <w:tc>
          <w:tcPr>
            <w:tcW w:w="592"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2,405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approval of an amendment to the Company’s Second Amended and Restated Certificate of Incorporation to change the Company’s legal name from “Banzai International, Inc.” to “Parabolic Technologies, Inc.” (the “Name Change Proposal”).</w:t>
            </w:r>
          </w:p>
        </w:tc>
      </w:tr>
    </w:tbl>
    <w:p>
      <w:pPr>
        <w:pStyle w:val="TextBody"/>
        <w:bidi w:val="0"/>
        <w:spacing w:before="0" w:after="0"/>
        <w:ind w:left="0" w:right="0" w:hanging="0"/>
        <w:jc w:val="left"/>
        <w:rPr>
          <w:caps w:val="false"/>
          <w:smallCaps w:val="false"/>
        </w:rPr>
      </w:pPr>
      <w:r>
        <w:rPr>
          <w:caps w:val="false"/>
          <w:smallCaps w:val="false"/>
        </w:rPr>
        <w:t> </w:t>
      </w:r>
    </w:p>
    <w:tbl>
      <w:tblPr>
        <w:tblW w:w="2655" w:type="dxa"/>
        <w:jc w:val="left"/>
        <w:tblInd w:w="0" w:type="dxa"/>
        <w:tblLayout w:type="fixed"/>
        <w:tblCellMar>
          <w:top w:w="0" w:type="dxa"/>
          <w:left w:w="0" w:type="dxa"/>
          <w:bottom w:w="28" w:type="dxa"/>
          <w:right w:w="0" w:type="dxa"/>
        </w:tblCellMar>
      </w:tblPr>
      <w:tblGrid>
        <w:gridCol w:w="60"/>
        <w:gridCol w:w="845"/>
        <w:gridCol w:w="60"/>
        <w:gridCol w:w="60"/>
        <w:gridCol w:w="60"/>
        <w:gridCol w:w="61"/>
        <w:gridCol w:w="604"/>
        <w:gridCol w:w="60"/>
        <w:gridCol w:w="60"/>
        <w:gridCol w:w="60"/>
        <w:gridCol w:w="73"/>
        <w:gridCol w:w="592"/>
        <w:gridCol w:w="60"/>
      </w:tblGrid>
      <w:tr>
        <w:trPr/>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2,266,795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1" w:type="dxa"/>
            <w:tcBorders/>
            <w:shd w:fill="CCEEFF" w:val="clear"/>
            <w:tcMar>
              <w:bottom w:w="0" w:type="dxa"/>
            </w:tcMar>
            <w:vAlign w:val="center"/>
          </w:tcPr>
          <w:p>
            <w:pPr>
              <w:pStyle w:val="TableContents"/>
              <w:bidi w:val="0"/>
              <w:spacing w:before="0" w:after="0"/>
              <w:ind w:left="0" w:right="0" w:hanging="0"/>
              <w:jc w:val="left"/>
              <w:rPr/>
            </w:pPr>
            <w:r>
              <w:rPr/>
              <w:t> </w:t>
            </w:r>
          </w:p>
        </w:tc>
        <w:tc>
          <w:tcPr>
            <w:tcW w:w="60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21,181</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73" w:type="dxa"/>
            <w:tcBorders/>
            <w:shd w:fill="CCEEFF" w:val="clear"/>
            <w:tcMar>
              <w:bottom w:w="0" w:type="dxa"/>
            </w:tcMar>
            <w:vAlign w:val="center"/>
          </w:tcPr>
          <w:p>
            <w:pPr>
              <w:pStyle w:val="TableContents"/>
              <w:bidi w:val="0"/>
              <w:spacing w:before="0" w:after="0"/>
              <w:ind w:left="0" w:right="0" w:hanging="0"/>
              <w:jc w:val="left"/>
              <w:rPr/>
            </w:pPr>
            <w:r>
              <w:rPr/>
              <w:t> </w:t>
            </w:r>
          </w:p>
        </w:tc>
        <w:tc>
          <w:tcPr>
            <w:tcW w:w="592"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approval of an amendment to the Banzai International, Inc. 2023 Equity Incentive Plan to (i) increase the number of shares of Common Stock reserved for issuance thereunder by 787,425 shares, (ii) increase the evergreen provision from 5% per year to 7.5% per year for the remaining term of the 2023 Plan, and (iii) remove the cap on the maximum number of shares that may be issued pursuant to the exercise of Incentive Stock Options.</w:t>
            </w:r>
          </w:p>
        </w:tc>
      </w:tr>
    </w:tbl>
    <w:p>
      <w:pPr>
        <w:pStyle w:val="TextBody"/>
        <w:bidi w:val="0"/>
        <w:spacing w:before="0" w:after="0"/>
        <w:ind w:left="0" w:right="0" w:hanging="0"/>
        <w:jc w:val="left"/>
        <w:rPr>
          <w:caps w:val="false"/>
          <w:smallCaps w:val="false"/>
        </w:rPr>
      </w:pPr>
      <w:r>
        <w:rPr>
          <w:caps w:val="false"/>
          <w:smallCaps w:val="false"/>
        </w:rPr>
        <w:t> </w:t>
      </w:r>
    </w:p>
    <w:tbl>
      <w:tblPr>
        <w:tblW w:w="2655" w:type="dxa"/>
        <w:jc w:val="left"/>
        <w:tblInd w:w="0" w:type="dxa"/>
        <w:tblLayout w:type="fixed"/>
        <w:tblCellMar>
          <w:top w:w="0" w:type="dxa"/>
          <w:left w:w="0" w:type="dxa"/>
          <w:bottom w:w="28" w:type="dxa"/>
          <w:right w:w="0" w:type="dxa"/>
        </w:tblCellMar>
      </w:tblPr>
      <w:tblGrid>
        <w:gridCol w:w="60"/>
        <w:gridCol w:w="845"/>
        <w:gridCol w:w="60"/>
        <w:gridCol w:w="60"/>
        <w:gridCol w:w="60"/>
        <w:gridCol w:w="61"/>
        <w:gridCol w:w="604"/>
        <w:gridCol w:w="60"/>
        <w:gridCol w:w="60"/>
        <w:gridCol w:w="60"/>
        <w:gridCol w:w="73"/>
        <w:gridCol w:w="592"/>
        <w:gridCol w:w="60"/>
      </w:tblGrid>
      <w:tr>
        <w:trPr/>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2,187,712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1" w:type="dxa"/>
            <w:tcBorders/>
            <w:shd w:fill="CCEEFF" w:val="clear"/>
            <w:tcMar>
              <w:bottom w:w="0" w:type="dxa"/>
            </w:tcMar>
            <w:vAlign w:val="center"/>
          </w:tcPr>
          <w:p>
            <w:pPr>
              <w:pStyle w:val="TableContents"/>
              <w:bidi w:val="0"/>
              <w:spacing w:before="0" w:after="0"/>
              <w:ind w:left="0" w:right="0" w:hanging="0"/>
              <w:jc w:val="left"/>
              <w:rPr/>
            </w:pPr>
            <w:r>
              <w:rPr/>
              <w:t> </w:t>
            </w:r>
          </w:p>
        </w:tc>
        <w:tc>
          <w:tcPr>
            <w:tcW w:w="60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99,745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73" w:type="dxa"/>
            <w:tcBorders/>
            <w:shd w:fill="CCEEFF" w:val="clear"/>
            <w:tcMar>
              <w:bottom w:w="0" w:type="dxa"/>
            </w:tcMar>
            <w:vAlign w:val="center"/>
          </w:tcPr>
          <w:p>
            <w:pPr>
              <w:pStyle w:val="TableContents"/>
              <w:bidi w:val="0"/>
              <w:spacing w:before="0" w:after="0"/>
              <w:ind w:left="0" w:right="0" w:hanging="0"/>
              <w:jc w:val="left"/>
              <w:rPr/>
            </w:pPr>
            <w:r>
              <w:rPr/>
              <w:t> </w:t>
            </w:r>
          </w:p>
        </w:tc>
        <w:tc>
          <w:tcPr>
            <w:tcW w:w="592"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2,543</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0"/>
              <w:ind w:left="0" w:right="0" w:hanging="0"/>
              <w:jc w:val="left"/>
              <w:rPr/>
            </w:pPr>
            <w:r>
              <w:rPr/>
              <w:t> </w:t>
            </w:r>
          </w:p>
        </w:tc>
        <w:tc>
          <w:tcPr>
            <w:tcW w:w="1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authorization of the Board of Directors, in its discretion, to effect one or more reverse stock splits of the Company’s issued and outstanding Class A common stock, par value $0.0001 per share and Class B Common Stock, par value $0.0001 per share, at an aggregate ratio of not less than 1-for-5 and not greater than 1-for-1,000, with the exact number, timing and ratio of any such reverse stock split(s) to be determined at the discretion of the Board of Directors, and to approve one or more amendments to the Company’s Second Amended and Restated Certificate of Incorporation to effect such reverse stock split(s), at any time prior to the second anniversary of the Meeting, subject to the authority of the Board of Directors to abandon any such amendment ("Reverse Split Proposal").</w:t>
            </w:r>
          </w:p>
        </w:tc>
      </w:tr>
    </w:tbl>
    <w:p>
      <w:pPr>
        <w:pStyle w:val="TextBody"/>
        <w:bidi w:val="0"/>
        <w:spacing w:before="0" w:after="0"/>
        <w:ind w:left="0" w:right="0" w:hanging="0"/>
        <w:jc w:val="left"/>
        <w:rPr>
          <w:caps w:val="false"/>
          <w:smallCaps w:val="false"/>
        </w:rPr>
      </w:pPr>
      <w:r>
        <w:rPr>
          <w:caps w:val="false"/>
          <w:smallCaps w:val="false"/>
        </w:rPr>
        <w:t> </w:t>
      </w:r>
    </w:p>
    <w:tbl>
      <w:tblPr>
        <w:tblW w:w="2655" w:type="dxa"/>
        <w:jc w:val="left"/>
        <w:tblInd w:w="0" w:type="dxa"/>
        <w:tblLayout w:type="fixed"/>
        <w:tblCellMar>
          <w:top w:w="0" w:type="dxa"/>
          <w:left w:w="0" w:type="dxa"/>
          <w:bottom w:w="28" w:type="dxa"/>
          <w:right w:w="0" w:type="dxa"/>
        </w:tblCellMar>
      </w:tblPr>
      <w:tblGrid>
        <w:gridCol w:w="60"/>
        <w:gridCol w:w="845"/>
        <w:gridCol w:w="60"/>
        <w:gridCol w:w="60"/>
        <w:gridCol w:w="60"/>
        <w:gridCol w:w="61"/>
        <w:gridCol w:w="604"/>
        <w:gridCol w:w="60"/>
        <w:gridCol w:w="60"/>
        <w:gridCol w:w="60"/>
        <w:gridCol w:w="73"/>
        <w:gridCol w:w="592"/>
        <w:gridCol w:w="60"/>
      </w:tblGrid>
      <w:tr>
        <w:trPr/>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2,220,042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1" w:type="dxa"/>
            <w:tcBorders/>
            <w:shd w:fill="CCEEFF" w:val="clear"/>
            <w:tcMar>
              <w:bottom w:w="0" w:type="dxa"/>
            </w:tcMar>
            <w:vAlign w:val="center"/>
          </w:tcPr>
          <w:p>
            <w:pPr>
              <w:pStyle w:val="TableContents"/>
              <w:bidi w:val="0"/>
              <w:spacing w:before="0" w:after="0"/>
              <w:ind w:left="0" w:right="0" w:hanging="0"/>
              <w:jc w:val="left"/>
              <w:rPr/>
            </w:pPr>
            <w:r>
              <w:rPr/>
              <w:t> </w:t>
            </w:r>
          </w:p>
        </w:tc>
        <w:tc>
          <w:tcPr>
            <w:tcW w:w="60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67,366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73" w:type="dxa"/>
            <w:tcBorders/>
            <w:shd w:fill="CCEEFF" w:val="clear"/>
            <w:tcMar>
              <w:bottom w:w="0" w:type="dxa"/>
            </w:tcMar>
            <w:vAlign w:val="center"/>
          </w:tcPr>
          <w:p>
            <w:pPr>
              <w:pStyle w:val="TableContents"/>
              <w:bidi w:val="0"/>
              <w:spacing w:before="0" w:after="0"/>
              <w:ind w:left="0" w:right="0" w:hanging="0"/>
              <w:jc w:val="left"/>
              <w:rPr/>
            </w:pPr>
            <w:r>
              <w:rPr/>
              <w:t> </w:t>
            </w:r>
          </w:p>
        </w:tc>
        <w:tc>
          <w:tcPr>
            <w:tcW w:w="592"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2,592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0"/>
              <w:ind w:left="0" w:right="0" w:hanging="0"/>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approval of an adjournment of the Special Meeting to a later date or dates, if necessary, to permit further solicitation and vote of proxies in the event there are not sufficient votes in favor of one or more of the proposals or there is not a quorum for one or more of the other proposals.</w:t>
            </w:r>
          </w:p>
        </w:tc>
      </w:tr>
    </w:tbl>
    <w:p>
      <w:pPr>
        <w:pStyle w:val="TextBody"/>
        <w:bidi w:val="0"/>
        <w:spacing w:before="0" w:after="0"/>
        <w:ind w:left="0" w:right="0" w:hanging="0"/>
        <w:jc w:val="left"/>
        <w:rPr>
          <w:caps w:val="false"/>
          <w:smallCaps w:val="false"/>
        </w:rPr>
      </w:pPr>
      <w:r>
        <w:rPr>
          <w:caps w:val="false"/>
          <w:smallCaps w:val="false"/>
        </w:rPr>
        <w:t> </w:t>
      </w:r>
    </w:p>
    <w:tbl>
      <w:tblPr>
        <w:tblW w:w="2655" w:type="dxa"/>
        <w:jc w:val="left"/>
        <w:tblInd w:w="0" w:type="dxa"/>
        <w:tblLayout w:type="fixed"/>
        <w:tblCellMar>
          <w:top w:w="0" w:type="dxa"/>
          <w:left w:w="0" w:type="dxa"/>
          <w:bottom w:w="28" w:type="dxa"/>
          <w:right w:w="0" w:type="dxa"/>
        </w:tblCellMar>
      </w:tblPr>
      <w:tblGrid>
        <w:gridCol w:w="60"/>
        <w:gridCol w:w="845"/>
        <w:gridCol w:w="60"/>
        <w:gridCol w:w="60"/>
        <w:gridCol w:w="60"/>
        <w:gridCol w:w="61"/>
        <w:gridCol w:w="604"/>
        <w:gridCol w:w="60"/>
        <w:gridCol w:w="60"/>
        <w:gridCol w:w="60"/>
        <w:gridCol w:w="73"/>
        <w:gridCol w:w="592"/>
        <w:gridCol w:w="60"/>
      </w:tblGrid>
      <w:tr>
        <w:trPr/>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2,243,365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1" w:type="dxa"/>
            <w:tcBorders/>
            <w:shd w:fill="CCEEFF" w:val="clear"/>
            <w:tcMar>
              <w:bottom w:w="0" w:type="dxa"/>
            </w:tcMar>
            <w:vAlign w:val="center"/>
          </w:tcPr>
          <w:p>
            <w:pPr>
              <w:pStyle w:val="TableContents"/>
              <w:bidi w:val="0"/>
              <w:spacing w:before="0" w:after="0"/>
              <w:ind w:left="0" w:right="0" w:hanging="0"/>
              <w:jc w:val="left"/>
              <w:rPr/>
            </w:pPr>
            <w:r>
              <w:rPr/>
              <w:t> </w:t>
            </w:r>
          </w:p>
        </w:tc>
        <w:tc>
          <w:tcPr>
            <w:tcW w:w="60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43,045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73" w:type="dxa"/>
            <w:tcBorders/>
            <w:shd w:fill="CCEEFF" w:val="clear"/>
            <w:tcMar>
              <w:bottom w:w="0" w:type="dxa"/>
            </w:tcMar>
            <w:vAlign w:val="center"/>
          </w:tcPr>
          <w:p>
            <w:pPr>
              <w:pStyle w:val="TableContents"/>
              <w:bidi w:val="0"/>
              <w:spacing w:before="0" w:after="0"/>
              <w:ind w:left="0" w:right="0" w:hanging="0"/>
              <w:jc w:val="left"/>
              <w:rPr/>
            </w:pPr>
            <w:r>
              <w:rPr/>
              <w:t> </w:t>
            </w:r>
          </w:p>
        </w:tc>
        <w:tc>
          <w:tcPr>
            <w:tcW w:w="592"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3,590</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per the above, the affirmative vote of the majority of the voting power of the stock present by remote communication or represented by proxy at the Meeting voted in favor of the proposals and therefore each proposal passed.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in this Form 8-K shall not be deemed to be “filed” for the purposes of Section 18 of the Securities Exchange Act of 1934, as amended, and shall not be incorporated by reference into any filing under the Securities Act of 1933, as amended, except as shall be expressly set forth by specific reference in such filing.</w:t>
      </w:r>
    </w:p>
    <w:p>
      <w:pPr>
        <w:pStyle w:val="TextBody"/>
        <w:bidi w:val="0"/>
        <w:spacing w:before="0" w:after="0"/>
        <w:ind w:left="0" w:right="0" w:hanging="0"/>
        <w:jc w:val="left"/>
        <w:rPr/>
      </w:pPr>
      <w:r>
        <w:rPr/>
        <w:t> </w:t>
      </w:r>
    </w:p>
    <w:tbl>
      <w:tblPr>
        <w:tblW w:w="2222" w:type="dxa"/>
        <w:jc w:val="left"/>
        <w:tblInd w:w="0" w:type="dxa"/>
        <w:tblLayout w:type="fixed"/>
        <w:tblCellMar>
          <w:top w:w="28" w:type="dxa"/>
          <w:left w:w="28" w:type="dxa"/>
          <w:bottom w:w="28" w:type="dxa"/>
          <w:right w:w="28" w:type="dxa"/>
        </w:tblCellMar>
      </w:tblPr>
      <w:tblGrid>
        <w:gridCol w:w="916"/>
        <w:gridCol w:w="130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8.01</w:t>
            </w:r>
          </w:p>
        </w:tc>
        <w:tc>
          <w:tcPr>
            <w:tcW w:w="130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Events.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October 22, 2026, the Company distributed a press release announcing the Name Change and the Reverse Stock Split. A copy of the press release is attached as Exhibit 99.1 to this Current Report on Form 8-K and is hereby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0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1026787.htm">
              <w:r>
                <w:rPr>
                  <w:rStyle w:val="InternetLink"/>
                  <w:rFonts w:ascii="Times New Roman" w:hAnsi="Times New Roman"/>
                  <w:caps w:val="false"/>
                  <w:smallCaps w:val="false"/>
                  <w:sz w:val="20"/>
                </w:rPr>
                <w:t>Reverse Stock Split Certificate of Amendment to Certificate of Incorporation</w:t>
              </w:r>
            </w:hyperlink>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1026929.htm">
              <w:r>
                <w:rPr>
                  <w:rStyle w:val="InternetLink"/>
                  <w:rFonts w:ascii="Times New Roman" w:hAnsi="Times New Roman"/>
                  <w:sz w:val="20"/>
                </w:rPr>
                <w:t>Name Change Certificate of Amendment to Certificate of Incorporation</w:t>
              </w:r>
            </w:hyperlink>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1026930.htm">
              <w:r>
                <w:rPr>
                  <w:rStyle w:val="InternetLink"/>
                  <w:rFonts w:ascii="Times New Roman" w:hAnsi="Times New Roman"/>
                  <w:sz w:val="20"/>
                </w:rPr>
                <w:t>2023 Equity Incentive Plan, as amended</w:t>
              </w:r>
            </w:hyperlink>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1028783.htm">
              <w:r>
                <w:rPr>
                  <w:rStyle w:val="InternetLink"/>
                  <w:rFonts w:ascii="Times New Roman" w:hAnsi="Times New Roman"/>
                  <w:sz w:val="20"/>
                </w:rPr>
                <w:t>Press Release</w:t>
              </w:r>
            </w:hyperlink>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October 22, 2026</w:t>
      </w:r>
    </w:p>
    <w:p>
      <w:pPr>
        <w:pStyle w:val="TextBody"/>
        <w:bidi w:val="0"/>
        <w:spacing w:before="0" w:after="0"/>
        <w:ind w:left="0" w:right="0" w:hanging="0"/>
        <w:jc w:val="left"/>
        <w:rPr>
          <w:caps w:val="false"/>
          <w:smallCaps w:val="false"/>
        </w:rPr>
      </w:pPr>
      <w:r>
        <w:rPr>
          <w:caps w:val="false"/>
          <w:smallCaps w:val="false"/>
        </w:rPr>
        <w:t> </w:t>
      </w:r>
    </w:p>
    <w:tbl>
      <w:tblPr>
        <w:tblW w:w="3004" w:type="dxa"/>
        <w:jc w:val="left"/>
        <w:tblInd w:w="0" w:type="dxa"/>
        <w:tblLayout w:type="fixed"/>
        <w:tblCellMar>
          <w:top w:w="0" w:type="dxa"/>
          <w:left w:w="0" w:type="dxa"/>
          <w:bottom w:w="0" w:type="dxa"/>
          <w:right w:w="0" w:type="dxa"/>
        </w:tblCellMar>
      </w:tblPr>
      <w:tblGrid>
        <w:gridCol w:w="60"/>
        <w:gridCol w:w="416"/>
        <w:gridCol w:w="2528"/>
      </w:tblGrid>
      <w:tr>
        <w:trPr/>
        <w:tc>
          <w:tcPr>
            <w:tcW w:w="60" w:type="dxa"/>
            <w:tcBorders/>
            <w:vAlign w:val="center"/>
          </w:tcPr>
          <w:p>
            <w:pPr>
              <w:pStyle w:val="TableContents"/>
              <w:bidi w:val="0"/>
              <w:spacing w:before="0" w:after="0"/>
              <w:ind w:left="0" w:right="0" w:hanging="0"/>
              <w:jc w:val="left"/>
              <w:rPr/>
            </w:pPr>
            <w:r>
              <w:rPr/>
              <w:t> </w:t>
            </w:r>
          </w:p>
        </w:tc>
        <w:tc>
          <w:tcPr>
            <w:tcW w:w="294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BANZAI INTERNATIONAL, INC</w:t>
            </w:r>
            <w:r>
              <w:rPr>
                <w:rFonts w:ascii="Times New Roman" w:hAnsi="Times New Roman"/>
                <w:caps w:val="false"/>
                <w:smallCaps w:val="false"/>
                <w:sz w:val="20"/>
              </w:rPr>
              <w:t>.</w:t>
            </w:r>
          </w:p>
        </w:tc>
      </w:tr>
      <w:tr>
        <w:trPr/>
        <w:tc>
          <w:tcPr>
            <w:tcW w:w="60"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2528"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5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Joseph Davy</w:t>
            </w:r>
          </w:p>
        </w:tc>
      </w:tr>
      <w:tr>
        <w:trPr/>
        <w:tc>
          <w:tcPr>
            <w:tcW w:w="60"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25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Davy</w:t>
            </w:r>
          </w:p>
        </w:tc>
      </w:tr>
      <w:tr>
        <w:trPr/>
        <w:tc>
          <w:tcPr>
            <w:tcW w:w="60"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25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right"/>
        <w:rPr>
          <w:rFonts w:ascii="Times New Roman" w:hAnsi="Times New Roman"/>
          <w:caps w:val="false"/>
          <w:smallCaps w:val="false"/>
          <w:sz w:val="20"/>
        </w:rPr>
      </w:pPr>
      <w:bookmarkStart w:id="2" w:name="ex_1026787.htm"/>
      <w:bookmarkStart w:id="3" w:name="ksex_1026787"/>
      <w:bookmarkEnd w:id="2"/>
      <w:bookmarkEnd w:id="3"/>
      <w:r>
        <w:rPr>
          <w:rFonts w:ascii="Times New Roman" w:hAnsi="Times New Roman"/>
          <w:b/>
          <w:caps w:val="false"/>
          <w:smallCaps w:val="false"/>
          <w:sz w:val="20"/>
        </w:rPr>
        <w:t>Exhibit 3.1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CERTIFICATE OF AMENDMENT</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SECOND AMENDED AND</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RESTATED CERTIFICATE OF </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INCORPORATION OF BANZAI </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INTERNATIONAL,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242 of the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Banzai International, Inc. (the “</w:t>
      </w:r>
      <w:r>
        <w:rPr>
          <w:rFonts w:ascii="Times New Roman" w:hAnsi="Times New Roman"/>
          <w:b/>
          <w:i/>
          <w:caps w:val="false"/>
          <w:smallCaps w:val="false"/>
          <w:sz w:val="20"/>
        </w:rPr>
        <w:t>Corporation</w:t>
      </w:r>
      <w:r>
        <w:rPr>
          <w:rFonts w:ascii="Times New Roman" w:hAnsi="Times New Roman"/>
          <w:caps w:val="false"/>
          <w:smallCaps w:val="false"/>
          <w:sz w:val="20"/>
        </w:rPr>
        <w:t>”), a corporation organized and existing under and by virtue of the provisions of the General Corporation Law of the State of Delaware (the “</w:t>
      </w:r>
      <w:r>
        <w:rPr>
          <w:rFonts w:ascii="Times New Roman" w:hAnsi="Times New Roman"/>
          <w:b/>
          <w:i/>
          <w:caps w:val="false"/>
          <w:smallCaps w:val="false"/>
          <w:sz w:val="20"/>
        </w:rPr>
        <w:t>General Corporation Law</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“Restated Certificate”), and declaring said amendment to be advisable. The requisite stockholders of the Corporation have duly approved said proposed amendment in accordance with Section 242 of the General Corporation Law of the State of Delaware. The amendment amends the Restated Certificate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paragraph immediately after the first paragraph of Article IV, Section (A) of the Restated Certificate is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caps w:val="false"/>
          <w:smallCaps w:val="false"/>
          <w:sz w:val="20"/>
        </w:rPr>
        <w:t>Upon this Certificate of Amendment to the Second Amended and Restated Certificate of Incorporation becoming effective pursuant to the General Corporation Law of the State of Delaware (the “Effective Time”), the shares of the Class A Common Stock and Class B Common Stock, issued and outstanding immediately prior to the Effective Time and the shares of Common Stock issued and held in the treasury of the Corporation immediately prior to the Effective Time shall be reclassified as and combined into a smaller number of shares such that every ten (10) shares of issued and outstanding Class A Common Stock and every ten (10) shares of issued and outstanding Class B Common Stock immediately prior to the Effective Time are automatically combined into one (1) validly issued, fully paid and nonassessable share of Class A Common Stock and Class B Common Stock, respectively (the “Reverse Stock Split”). Notwithstanding the immediately preceding sentence, no fractional shares shall be issued and, in lieu thereof, any person who would otherwise be entitled to a fractional share of Common Stock as a result of the reclassification and combination following the Effective Time (after taking into account all fractional shares of Common Stock otherwise issuable to such holder) shall be rounded up to the nearest whole number.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stock certificate or book-entry position that, immediately prior to the Effective Time, represented shares of Class A Common Stock or Class B Common Stock, as applicable, that were issued and outstanding immediately prior to the Effective Time shall, from and after the Effective Time, automatically and without the necessity of presenting the same for exchange, represent that number of whole shares of Class A Common Stock or Class B Common Stock, respectively, after the Effective Time into which the shares of Class A Common Stock or Class B Common Stock formerly represented by such certificate or book-entry position shall have been reclassified and combined.”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    This Certificate of Amendment shall be effective at 12:01 AM Eastern Time on 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this Corporation has caused this Certificate of Amendment of the Second Amended and Restated Certificate of Incorporation to be signed by its Chief Executive Officer this 16</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60"/>
        <w:gridCol w:w="1940"/>
      </w:tblGrid>
      <w:tr>
        <w:trPr/>
        <w:tc>
          <w:tcPr>
            <w:tcW w:w="60" w:type="dxa"/>
            <w:tcBorders/>
            <w:vAlign w:val="center"/>
          </w:tcPr>
          <w:p>
            <w:pPr>
              <w:pStyle w:val="TableContents"/>
              <w:bidi w:val="0"/>
              <w:spacing w:before="0" w:after="0"/>
              <w:ind w:left="0" w:right="0" w:hanging="0"/>
              <w:jc w:val="left"/>
              <w:rPr/>
            </w:pPr>
            <w:r>
              <w:rPr/>
              <w:t>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Joseph Davy</w:t>
            </w:r>
          </w:p>
        </w:tc>
      </w:tr>
      <w:tr>
        <w:trPr/>
        <w:tc>
          <w:tcPr>
            <w:tcW w:w="6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Davy</w:t>
            </w:r>
          </w:p>
        </w:tc>
      </w:tr>
      <w:tr>
        <w:trPr/>
        <w:tc>
          <w:tcPr>
            <w:tcW w:w="6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4" w:name="ex_1026929.htm"/>
      <w:bookmarkStart w:id="5" w:name="ksex_1026929"/>
      <w:bookmarkEnd w:id="4"/>
      <w:bookmarkEnd w:id="5"/>
      <w:r>
        <w:rPr>
          <w:rFonts w:ascii="Times New Roman;Times;serif" w:hAnsi="Times New Roman;Times;serif"/>
          <w:b/>
          <w:sz w:val="20"/>
        </w:rPr>
        <w:t>Exhibit 3.2</w:t>
      </w:r>
      <w:r>
        <w:rPr>
          <w:rFonts w:ascii="Times New Roman;Times;serif" w:hAnsi="Times New Roman;Times;serif"/>
          <w:sz w:val="20"/>
        </w:rPr>
        <w:t xml:space="preserve">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CERTIFICATE OF AMENDMENT OF THE</w:t>
      </w:r>
      <w:r>
        <w:rPr>
          <w:rFonts w:ascii="Times New Roman" w:hAnsi="Times New Roman"/>
          <w:caps w:val="false"/>
          <w:smallCaps w:val="false"/>
          <w:sz w:val="20"/>
        </w:rPr>
        <w:t> </w:t>
        <w:br/>
      </w:r>
      <w:r>
        <w:rPr>
          <w:rFonts w:ascii="Times New Roman" w:hAnsi="Times New Roman"/>
          <w:b/>
          <w:caps w:val="false"/>
          <w:smallCaps w:val="false"/>
          <w:sz w:val="20"/>
        </w:rPr>
        <w:t>SECOND AMENDED AND RESTATED</w:t>
      </w:r>
      <w:r>
        <w:rPr>
          <w:rFonts w:ascii="Times New Roman" w:hAnsi="Times New Roman"/>
          <w:caps w:val="false"/>
          <w:smallCaps w:val="false"/>
          <w:sz w:val="20"/>
        </w:rPr>
        <w:t> </w:t>
        <w:br/>
      </w:r>
      <w:r>
        <w:rPr>
          <w:rFonts w:ascii="Times New Roman" w:hAnsi="Times New Roman"/>
          <w:b/>
          <w:caps w:val="false"/>
          <w:smallCaps w:val="false"/>
          <w:sz w:val="20"/>
        </w:rPr>
        <w:t>CERTIFICATE OF INCORPORATION OF</w:t>
      </w:r>
      <w:r>
        <w:rPr>
          <w:rFonts w:ascii="Times New Roman" w:hAnsi="Times New Roman"/>
          <w:caps w:val="false"/>
          <w:smallCaps w:val="false"/>
          <w:sz w:val="20"/>
        </w:rPr>
        <w:t> </w:t>
        <w:br/>
      </w:r>
      <w:r>
        <w:rPr>
          <w:rFonts w:ascii="Times New Roman" w:hAnsi="Times New Roman"/>
          <w:b/>
          <w:caps w:val="false"/>
          <w:smallCaps w:val="false"/>
          <w:sz w:val="20"/>
        </w:rPr>
        <w:t>BANZAI INTERNATIONAL, INC.</w:t>
      </w:r>
      <w:r>
        <w:rPr>
          <w:rFonts w:ascii="Times New Roman" w:hAnsi="Times New Roman"/>
          <w:caps w:val="false"/>
          <w:smallCaps w:val="false"/>
          <w:sz w:val="20"/>
        </w:rPr>
        <w:t> </w:t>
        <w:br/>
      </w:r>
      <w:r>
        <w:rPr>
          <w:rFonts w:ascii="Times New Roman" w:hAnsi="Times New Roman"/>
          <w:b/>
          <w:caps w:val="false"/>
          <w:smallCaps w:val="false"/>
          <w:sz w:val="20"/>
        </w:rPr>
        <w:t>FOR NAME CHANGE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242 of the</w:t>
        <w:br/>
        <w:t>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Banzai International, Inc. (the “</w:t>
      </w:r>
      <w:r>
        <w:rPr>
          <w:rFonts w:ascii="Times New Roman" w:hAnsi="Times New Roman"/>
          <w:b/>
          <w:caps w:val="false"/>
          <w:smallCaps w:val="false"/>
          <w:sz w:val="20"/>
        </w:rPr>
        <w:t>Corporation</w:t>
      </w:r>
      <w:r>
        <w:rPr>
          <w:rFonts w:ascii="Times New Roman" w:hAnsi="Times New Roman"/>
          <w:caps w:val="false"/>
          <w:smallCaps w:val="false"/>
          <w:sz w:val="20"/>
        </w:rPr>
        <w:t>”), a corporation organized and existing under and by virtue of the provisions of the General Corporation Law of the State of Delaware (the “</w:t>
      </w:r>
      <w:r>
        <w:rPr>
          <w:rFonts w:ascii="Times New Roman" w:hAnsi="Times New Roman"/>
          <w:b/>
          <w:caps w:val="false"/>
          <w:smallCaps w:val="false"/>
          <w:sz w:val="20"/>
        </w:rPr>
        <w:t>General Corporation Law</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w:t>
      </w:r>
      <w:r>
        <w:rPr>
          <w:rFonts w:ascii="Times New Roman" w:hAnsi="Times New Roman"/>
          <w:b/>
          <w:caps w:val="false"/>
          <w:smallCaps w:val="false"/>
          <w:sz w:val="20"/>
        </w:rPr>
        <w:t>Restated Certificate</w:t>
      </w:r>
      <w:r>
        <w:rPr>
          <w:rFonts w:ascii="Times New Roman" w:hAnsi="Times New Roman"/>
          <w:caps w:val="false"/>
          <w:smallCaps w:val="false"/>
          <w:sz w:val="20"/>
        </w:rPr>
        <w:t>”), and declaring said amendment to be advisable. The requisite stockholders of the Corporation have duly approved said proposed amendment in accordance with Section 242 of the General Corporation Law of the State of Delaware. The amendment amends the Restated Certificate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Paragraph 1 of the Restated Certificate is hereby amended and read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caps w:val="false"/>
          <w:smallCaps w:val="false"/>
          <w:sz w:val="20"/>
        </w:rPr>
        <w:t>The name of this corporation is Parabolic Technologies, Inc. and the date of filing the original Certificate of Incorporation of this corporation with the Secretary of State of the State of Delaware was September 18, 2020, as amended and restated by the Amended and Restated Certificate of Incorporation of this corporation filed with the Secretary of State of the State of Delaware on December 22, 2022 (the “Amended and Restated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This Certificate of Amendment shall be effective at 12:01 a.m. Eastern Time on 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this Corporation has caused this Certificate of Amendment of the Second Amended and Restated Certificate of Incorporation to be signed by its Chief Executive Officer this 16</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October, 2026.</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60"/>
        <w:gridCol w:w="1940"/>
      </w:tblGrid>
      <w:tr>
        <w:trPr/>
        <w:tc>
          <w:tcPr>
            <w:tcW w:w="60" w:type="dxa"/>
            <w:tcBorders/>
            <w:vAlign w:val="center"/>
          </w:tcPr>
          <w:p>
            <w:pPr>
              <w:pStyle w:val="TableContents"/>
              <w:bidi w:val="0"/>
              <w:spacing w:before="0" w:after="0"/>
              <w:ind w:left="0" w:right="0" w:hanging="0"/>
              <w:jc w:val="left"/>
              <w:rPr/>
            </w:pPr>
            <w:r>
              <w:rPr/>
              <w:t>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Joseph Davy</w:t>
            </w:r>
          </w:p>
        </w:tc>
      </w:tr>
      <w:tr>
        <w:trPr/>
        <w:tc>
          <w:tcPr>
            <w:tcW w:w="6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Joseph Davy</w:t>
            </w:r>
          </w:p>
        </w:tc>
      </w:tr>
      <w:tr>
        <w:trPr/>
        <w:tc>
          <w:tcPr>
            <w:tcW w:w="6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6" w:name="ex_1026930.htm"/>
      <w:bookmarkStart w:id="7" w:name="ksex_1026930"/>
      <w:bookmarkEnd w:id="6"/>
      <w:bookmarkEnd w:id="7"/>
      <w:r>
        <w:rPr>
          <w:rFonts w:ascii="Times New Roman;Times;serif" w:hAnsi="Times New Roman;Times;serif"/>
          <w:b/>
          <w:sz w:val="20"/>
        </w:rPr>
        <w:t>Exhibit 10.1</w:t>
      </w:r>
      <w:r>
        <w:rPr>
          <w:rFonts w:ascii="Times New Roman;Times;serif" w:hAnsi="Times New Roman;Times;serif"/>
          <w:sz w:val="20"/>
        </w:rPr>
        <w:t xml:space="preserve">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BANZAI INTERNATIONAL,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AMENDED &amp; RESTATED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2023 EQUITY INCENTIVE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ADOPTED BY THE BOARD OF DIRECTORS: November 13, 2023</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APPROVED BY THE STOCKHOLDERS: December 13, 2023</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AMENDED ON: October 16,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 GENERAL.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(a) Plan Purpose.</w:t>
      </w:r>
      <w:r>
        <w:rPr>
          <w:rFonts w:ascii="Times New Roman" w:hAnsi="Times New Roman"/>
          <w:caps w:val="false"/>
          <w:smallCaps w:val="false"/>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(b) Available Awards.</w:t>
      </w:r>
      <w:r>
        <w:rPr>
          <w:rFonts w:ascii="Times New Roman" w:hAnsi="Times New Roman"/>
          <w:caps w:val="false"/>
          <w:smallCaps w:val="false"/>
          <w:sz w:val="20"/>
        </w:rPr>
        <w:t xml:space="preserve"> The Plan provides for the grant of the following Awards: (i) Incentive Stock Options; (ii) Nonstatutory Stock Options; (iii) SARs; (iv) Restricted Stock Awards; (v) RSU Awards; (vi) Performance Awards; and (vii) Other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(c) Adoption Date; Effective Date. </w:t>
      </w:r>
      <w:r>
        <w:rPr>
          <w:rFonts w:ascii="Times New Roman" w:hAnsi="Times New Roman"/>
          <w:caps w:val="false"/>
          <w:smallCaps w:val="false"/>
          <w:sz w:val="20"/>
        </w:rPr>
        <w:t>The Plan will come into existence on the Adoption Date, but no Award may be granted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2. SHARES SUBJECT TO THE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(a) Share Reserve.</w:t>
      </w:r>
      <w:r>
        <w:rPr>
          <w:rFonts w:ascii="Times New Roman" w:hAnsi="Times New Roman"/>
          <w:caps w:val="false"/>
          <w:smallCaps w:val="false"/>
          <w:sz w:val="20"/>
        </w:rPr>
        <w:t xml:space="preserve"> Subject to adjustment in accordance with Section 2(c) and any adjustments as necessary to implement any Capitalization Adjustments, the aggregate number of shares of Common Stock that may be issued pursuant to Awards will not exceed 884,149 shares of Common Stock. In addition, subject to any adjustments as necessary to implement any Capitalization Adjustments, such aggregate number of shares of Common Stock will automatically increase on (i) January 1 of each year for a period of three years commencing on January 1, 2024 and ending on (and including) January 1, 2026, in an amount equal to five percent (5%) of the total number of shares of the Fully Diluted Common Stock determined as of the day prior to such increase and (ii) January 1 of each year for a period of seven years commencing on January 1, 2027 and ending on (and including) January 1, 2033, in an amount equal to seven and one half percent (7.5%);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Board may act prior to January 1st of a given year to provide that the increase for such year will be a lesser number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(b) Intentionally Omitted.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(c) Share Reserve Operation.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 Limit Applies to Common Stock Issued Pursuant to Awards. </w:t>
      </w:r>
      <w:r>
        <w:rPr>
          <w:rFonts w:ascii="Times New Roman" w:hAnsi="Times New Roman"/>
          <w:caps w:val="false"/>
          <w:smallCaps w:val="false"/>
          <w:sz w:val="20"/>
        </w:rPr>
        <w:t>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 Actions that Do Not Constitute Issuance of Common Stock and Do Not Reduce Share Reserve. </w:t>
      </w:r>
      <w:r>
        <w:rPr>
          <w:rFonts w:ascii="Times New Roman" w:hAnsi="Times New Roman"/>
          <w:caps w:val="false"/>
          <w:smallCaps w:val="false"/>
          <w:sz w:val="20"/>
        </w:rPr>
        <w:t>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(iii) Reversion of Previously Issued Shares of Common Stock to Share Reserve. </w:t>
      </w:r>
      <w:r>
        <w:rPr>
          <w:rFonts w:ascii="Times New Roman" w:hAnsi="Times New Roman"/>
          <w:caps w:val="false"/>
          <w:smallCaps w:val="false"/>
          <w:sz w:val="20"/>
        </w:rPr>
        <w:t>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3. ELIGIBILITY AND LIMITATIONS.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(a) Eligible Award Recipients. </w:t>
      </w:r>
      <w:r>
        <w:rPr>
          <w:rFonts w:ascii="Times New Roman" w:hAnsi="Times New Roman"/>
          <w:caps w:val="false"/>
          <w:smallCaps w:val="false"/>
          <w:sz w:val="20"/>
        </w:rPr>
        <w:t>Subject to the terms of the Plan, Employees, Directors, and Consultants are eligible to receive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Specific Award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 Limitations on Incentive Stock Option Recipients. </w:t>
      </w:r>
      <w:r>
        <w:rPr>
          <w:rFonts w:ascii="Times New Roman" w:hAnsi="Times New Roman"/>
          <w:caps w:val="false"/>
          <w:smallCaps w:val="false"/>
          <w:sz w:val="20"/>
        </w:rPr>
        <w:t>Incentive Stock Options may be granted only to Employees of the Company or a “parent corporation” or “subsidiary corporation” thereof (as such terms are defined in Sections 424(e) and (f)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 Incentive Stock Option $100,000 Limitation. </w:t>
      </w:r>
      <w:r>
        <w:rPr>
          <w:rFonts w:ascii="Times New Roman" w:hAnsi="Times New Roman"/>
          <w:caps w:val="false"/>
          <w:smallCaps w:val="false"/>
          <w:sz w:val="20"/>
        </w:rPr>
        <w:t>To the extent that the aggregate Fair Market Value (determined at the time of grant) of Common Stock with respect to which Incentive Stock Options are exercisable for the first time by any Option 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(iii) Limitations on Incentive Stock Options Granted to Ten Percent Stockholders. </w:t>
      </w:r>
      <w:r>
        <w:rPr>
          <w:rFonts w:ascii="Times New Roman" w:hAnsi="Times New Roman"/>
          <w:caps w:val="false"/>
          <w:smallCaps w:val="false"/>
          <w:sz w:val="20"/>
        </w:rPr>
        <w:t>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(iv) Limitations on Nonstatutory Stock Options and SARs. </w:t>
      </w:r>
      <w:r>
        <w:rPr>
          <w:rFonts w:ascii="Times New Roman" w:hAnsi="Times New Roman"/>
          <w:caps w:val="false"/>
          <w:smallCaps w:val="false"/>
          <w:sz w:val="20"/>
        </w:rPr>
        <w:t>Nonstatutory Stock Options and SARs may not be granted to Employees, Directors, and Consultants unless the stock underlying such Awards is treated as “service recipient stock” under Section 409A or unless such Awards otherwise comply with the requirements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(c) Intentionally Omitted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(d) Compensation Limit for Certain Directors. </w:t>
      </w:r>
      <w:r>
        <w:rPr>
          <w:rFonts w:ascii="Times New Roman" w:hAnsi="Times New Roman"/>
          <w:caps w:val="false"/>
          <w:smallCaps w:val="false"/>
          <w:sz w:val="20"/>
        </w:rPr>
        <w:t>The aggregate value of all compensation granted or paid, as applicable, to any Director who is not also an employee of the Company, or a parent or subsidiary of the Company, for service as a Director,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Times New Roman" w:hAnsi="Times New Roman"/>
          <w:b/>
          <w:i/>
          <w:caps w:val="false"/>
          <w:smallCaps w:val="false"/>
          <w:sz w:val="20"/>
        </w:rPr>
        <w:t>Annual Period</w:t>
      </w:r>
      <w:r>
        <w:rPr>
          <w:rFonts w:ascii="Times New Roman" w:hAnsi="Times New Roman"/>
          <w:caps w:val="false"/>
          <w:smallCaps w:val="false"/>
          <w:sz w:val="20"/>
        </w:rPr>
        <w:t>”), including Awards granted and cash fees paid by the Company to such Director, will not exceed (i) $1,000,000 in total value, or (ii) in the event such Director is first appointed or elected to the Board during such Annual Period, $1,500,000 in total value, in each case calculating the value of any equity awards based on the grant date fair value of such equity awards for financial reporting purposes. The limitations in this Section 3(d) shall apply commencing with the Annual Period that begins on the Company’s first Annual Meeting of Stockholders following the Effective Date. Notwithstanding the foregoing, the limitations in this Section 3(d) shall not apply to distributions of previously deferred compensation under a deferred compensation plan maintained by the Company or compensation received by the director in his or her capacity as an executive officer or employee of, or consultant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4. OPTIONS AND STOCK APPRECIATION RIGHTS.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(a) Term. </w:t>
      </w:r>
      <w:r>
        <w:rPr>
          <w:rFonts w:ascii="Times New Roman" w:hAnsi="Times New Roman"/>
          <w:caps w:val="false"/>
          <w:smallCaps w:val="false"/>
          <w:sz w:val="20"/>
        </w:rPr>
        <w:t>Subject to Section 3(b) regarding Ten Percent Stockholders, no Option or SAR will be exercisable after the expiration of ten years from the date of grant of such Award or such shorter period specified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(b) Exercise or Strike Price.</w:t>
      </w:r>
      <w:r>
        <w:rPr>
          <w:rFonts w:ascii="Times New Roman" w:hAnsi="Times New Roman"/>
          <w:caps w:val="false"/>
          <w:smallCaps w:val="false"/>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(c) Exercise Procedure and Payment of Exercise Price for Options. </w:t>
      </w:r>
      <w:r>
        <w:rPr>
          <w:rFonts w:ascii="Times New Roman" w:hAnsi="Times New Roman"/>
          <w:caps w:val="false"/>
          <w:smallCaps w:val="false"/>
          <w:sz w:val="20"/>
        </w:rPr>
        <w:t>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xml:space="preserve"> by cash or check, bank draft or money order payable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 </w:t>
      </w:r>
      <w:r>
        <w:rPr>
          <w:rFonts w:ascii="Times New Roman" w:hAnsi="Times New Roman"/>
          <w:caps w:val="false"/>
          <w:smallCaps w:val="false"/>
          <w:sz w:val="20"/>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(iii) </w:t>
      </w:r>
      <w:r>
        <w:rPr>
          <w:rFonts w:ascii="Times New Roman" w:hAnsi="Times New Roman"/>
          <w:caps w:val="false"/>
          <w:smallCaps w:val="false"/>
          <w:sz w:val="20"/>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(iv) </w:t>
      </w:r>
      <w:r>
        <w:rPr>
          <w:rFonts w:ascii="Times New Roman" w:hAnsi="Times New Roman"/>
          <w:caps w:val="false"/>
          <w:smallCaps w:val="false"/>
          <w:sz w:val="20"/>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aggregate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(v)</w:t>
      </w:r>
      <w:r>
        <w:rPr>
          <w:rFonts w:ascii="Times New Roman" w:hAnsi="Times New Roman"/>
          <w:caps w:val="false"/>
          <w:smallCaps w:val="false"/>
          <w:sz w:val="20"/>
        </w:rPr>
        <w:t xml:space="preserve"> in any other form of consideration approved by the Board and permissible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(d) Exercise Procedure and Payment of Appreciation Distribution for SARs.</w:t>
      </w:r>
      <w:r>
        <w:rPr>
          <w:rFonts w:ascii="Times New Roman" w:hAnsi="Times New Roman"/>
          <w:caps w:val="false"/>
          <w:smallCaps w:val="false"/>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(e) Transferability.</w:t>
      </w:r>
      <w:r>
        <w:rPr>
          <w:rFonts w:ascii="Times New Roman" w:hAnsi="Times New Roman"/>
          <w:caps w:val="false"/>
          <w:smallCaps w:val="false"/>
          <w:sz w:val="20"/>
        </w:rPr>
        <w:t xml:space="preserve"> Options and SARs may not be transferred to third-party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provided, further, that if an Option is an Incentive Stock Option, such Option may be deemed to be a Nonstatutory Stock Option as a result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 Restrictions on Transfer.</w:t>
      </w:r>
      <w:r>
        <w:rPr>
          <w:rFonts w:ascii="Times New Roman" w:hAnsi="Times New Roman"/>
          <w:caps w:val="false"/>
          <w:smallCaps w:val="false"/>
          <w:sz w:val="20"/>
        </w:rPr>
        <w:t xml:space="preserve"> An Option or SAR will not be transferable, except by will or by the laws of descent and distribution, and will be exercisable during the lifetime of the Participant only by the Participant;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 Domestic Relations Orders. </w:t>
      </w:r>
      <w:r>
        <w:rPr>
          <w:rFonts w:ascii="Times New Roman" w:hAnsi="Times New Roman"/>
          <w:caps w:val="false"/>
          <w:smallCaps w:val="false"/>
          <w:sz w:val="20"/>
        </w:rPr>
        <w:t>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(f) Vesting.</w:t>
      </w:r>
      <w:r>
        <w:rPr>
          <w:rFonts w:ascii="Times New Roman" w:hAnsi="Times New Roman"/>
          <w:caps w:val="false"/>
          <w:smallCaps w:val="false"/>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(g) Termination of Continuous Service for Cause. </w:t>
      </w:r>
      <w:r>
        <w:rPr>
          <w:rFonts w:ascii="Times New Roman" w:hAnsi="Times New Roman"/>
          <w:caps w:val="false"/>
          <w:smallCaps w:val="false"/>
          <w:sz w:val="20"/>
        </w:rPr>
        <w:t>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such termination of Continuous Service and the Participant will have no further right, title or interest in such forfeited Award, the shares of Common Stock subject to the forfeited Award, or any consideration in respect of the forfeited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(h) Post-Termination Exercise Period Following Termination of Continuous Service for Reasons Other than Cause. </w:t>
      </w:r>
      <w:r>
        <w:rPr>
          <w:rFonts w:ascii="Times New Roman" w:hAnsi="Times New Roman"/>
          <w:caps w:val="false"/>
          <w:smallCaps w:val="false"/>
          <w:sz w:val="20"/>
        </w:rPr>
        <w:t>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 </w:t>
      </w:r>
      <w:r>
        <w:rPr>
          <w:rFonts w:ascii="Times New Roman" w:hAnsi="Times New Roman"/>
          <w:caps w:val="false"/>
          <w:smallCaps w:val="false"/>
          <w:sz w:val="20"/>
        </w:rPr>
        <w:t>three months following the date of such termination if such termination is a termination without Cause (other than any termination due to the Participant’s Disability or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xml:space="preserve"> 12 months following the date of such termination if such termination is due to the Participant’s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xml:space="preserve"> 18 months following the date of such termination if such termination is due to the Participant’s death;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(iv) </w:t>
      </w:r>
      <w:r>
        <w:rPr>
          <w:rFonts w:ascii="Times New Roman" w:hAnsi="Times New Roman"/>
          <w:caps w:val="false"/>
          <w:smallCaps w:val="false"/>
          <w:sz w:val="20"/>
        </w:rPr>
        <w:t xml:space="preserve">18 months following the date of the Participant’s death if such death occurs following the date of such termination but during the period such Award is otherwise exercisable (as provided in (i) or (ii) above);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no event may such Award be exercised after the expiration of its maximum term (as set forth in Section 4(a)). 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(i) Restrictions on Exercise; Extension of Exercisability. </w:t>
      </w:r>
      <w:r>
        <w:rPr>
          <w:rFonts w:ascii="Times New Roman" w:hAnsi="Times New Roman"/>
          <w:caps w:val="false"/>
          <w:smallCaps w:val="false"/>
          <w:sz w:val="20"/>
        </w:rPr>
        <w:t>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(j) Non-Exempt Employees</w:t>
      </w:r>
      <w:r>
        <w:rPr>
          <w:rFonts w:ascii="Times New Roman" w:hAnsi="Times New Roman"/>
          <w:caps w:val="false"/>
          <w:smallCaps w:val="false"/>
          <w:sz w:val="20"/>
        </w:rPr>
        <w:t>.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4(j) will apply to all Awards and are hereby incorporated by reference into such Award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(k) Whole Shares</w:t>
      </w:r>
      <w:r>
        <w:rPr>
          <w:rFonts w:ascii="Times New Roman" w:hAnsi="Times New Roman"/>
          <w:caps w:val="false"/>
          <w:smallCaps w:val="false"/>
          <w:sz w:val="20"/>
        </w:rPr>
        <w:t>. Options and SARs may be exercised only with respect to whole shares of Common Stock or their equivalents.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5. AWARDS OTHER THAN OPTIONS AND STOCK APPRECIATION RIGHTS.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(a) Restricted Stock Awards and RSU Awards.</w:t>
      </w:r>
      <w:r>
        <w:rPr>
          <w:rFonts w:ascii="Times New Roman" w:hAnsi="Times New Roman"/>
          <w:caps w:val="false"/>
          <w:smallCaps w:val="false"/>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(i) Form of Award.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b/>
          <w:caps w:val="false"/>
          <w:smallCaps w:val="false"/>
          <w:sz w:val="20"/>
        </w:rPr>
        <w:t xml:space="preserve">(1) </w:t>
      </w:r>
      <w:r>
        <w:rPr>
          <w:rFonts w:ascii="Times New Roman" w:hAnsi="Times New Roman"/>
          <w:caps w:val="false"/>
          <w:smallCaps w:val="false"/>
          <w:sz w:val="20"/>
        </w:rPr>
        <w:t>Restricted Stock Awards: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dividend, and other rights as a stockholder of the Company with respect to any shares subject to a Restricted Stock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b/>
          <w:caps w:val="false"/>
          <w:smallCaps w:val="false"/>
          <w:sz w:val="20"/>
        </w:rPr>
        <w:t xml:space="preserve">(2) </w:t>
      </w:r>
      <w:r>
        <w:rPr>
          <w:rFonts w:ascii="Times New Roman" w:hAnsi="Times New Roman"/>
          <w:caps w:val="false"/>
          <w:smallCaps w:val="false"/>
          <w:sz w:val="20"/>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(ii) Consideration.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b/>
          <w:caps w:val="false"/>
          <w:smallCaps w:val="false"/>
          <w:sz w:val="20"/>
        </w:rPr>
        <w:t xml:space="preserve">(1) </w:t>
      </w:r>
      <w:r>
        <w:rPr>
          <w:rFonts w:ascii="Times New Roman" w:hAnsi="Times New Roman"/>
          <w:caps w:val="false"/>
          <w:smallCaps w:val="false"/>
          <w:sz w:val="20"/>
        </w:rPr>
        <w:t>Restricted Stock Awards: A Restricted Stock Award may be granted in consideration for (A) cash or check, bank draft or money order payable to the Company, (B) past or future services to the Company or an Affiliate, or (C) any other form of consideration as the Board may determine and permissible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b/>
          <w:caps w:val="false"/>
          <w:smallCaps w:val="false"/>
          <w:sz w:val="20"/>
        </w:rPr>
        <w:t xml:space="preserve">(2) </w:t>
      </w:r>
      <w:r>
        <w:rPr>
          <w:rFonts w:ascii="Times New Roman" w:hAnsi="Times New Roman"/>
          <w:caps w:val="false"/>
          <w:smallCaps w:val="false"/>
          <w:sz w:val="20"/>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(iii) Vesting. </w:t>
      </w:r>
      <w:r>
        <w:rPr>
          <w:rFonts w:ascii="Times New Roman" w:hAnsi="Times New Roman"/>
          <w:caps w:val="false"/>
          <w:smallCaps w:val="false"/>
          <w:sz w:val="20"/>
        </w:rPr>
        <w:t>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(iv) Termination of Continuous Service. </w:t>
      </w:r>
      <w:r>
        <w:rPr>
          <w:rFonts w:ascii="Times New Roman" w:hAnsi="Times New Roman"/>
          <w:caps w:val="false"/>
          <w:smallCaps w:val="false"/>
          <w:sz w:val="20"/>
        </w:rPr>
        <w:t>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(v) Dividends and Dividend Equivalents.</w:t>
      </w:r>
      <w:r>
        <w:rPr>
          <w:rFonts w:ascii="Times New Roman" w:hAnsi="Times New Roman"/>
          <w:caps w:val="false"/>
          <w:smallCaps w:val="false"/>
          <w:sz w:val="20"/>
        </w:rPr>
        <w:t xml:space="preserve"> Dividends or dividend equivalents may be paid or credited, as applicable, with respect to any shares of Common Stock subject to a Restricted Stock Award or RSU Award, as determined by the Board and specified in the Award Agreement, with any dividends or dividend equivalents subject to the same terms and conditions of the underlying Restricted Stock Award or RSU Award to which they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(vi) Settlement of RSU Awards</w:t>
      </w:r>
      <w:r>
        <w:rPr>
          <w:rFonts w:ascii="Times New Roman" w:hAnsi="Times New Roman"/>
          <w:caps w:val="false"/>
          <w:smallCaps w:val="false"/>
          <w:sz w:val="20"/>
        </w:rPr>
        <w:t>.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(b) Performance Awards</w:t>
      </w:r>
      <w:r>
        <w:rPr>
          <w:rFonts w:ascii="Times New Roman" w:hAnsi="Times New Roman"/>
          <w:caps w:val="false"/>
          <w:smallCaps w:val="false"/>
          <w:sz w:val="20"/>
        </w:rPr>
        <w:t>.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(c) Other Awards</w:t>
      </w:r>
      <w:r>
        <w:rPr>
          <w:rFonts w:ascii="Times New Roman" w:hAnsi="Times New Roman"/>
          <w:caps w:val="false"/>
          <w:smallCaps w:val="false"/>
          <w:sz w:val="20"/>
        </w:rPr>
        <w:t>.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6. ADJUSTMENTS UPON CHANGES IN COMMON STOCK; OTHER CORPORATE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(a) Capitalization Adjustments</w:t>
      </w:r>
      <w:r>
        <w:rPr>
          <w:rFonts w:ascii="Times New Roman" w:hAnsi="Times New Roman"/>
          <w:caps w:val="false"/>
          <w:smallCaps w:val="false"/>
          <w:sz w:val="20"/>
        </w:rPr>
        <w:t>. In the event of a Capitalization Adjustment, the Board shall appropriately and proportionately adjust: (i) the class(es) and maximum number of shares of Common Stock subject to the Plan, and (ii)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(b) Dissolution or Liquidation</w:t>
      </w:r>
      <w:r>
        <w:rPr>
          <w:rFonts w:ascii="Times New Roman" w:hAnsi="Times New Roman"/>
          <w:caps w:val="false"/>
          <w:smallCaps w:val="false"/>
          <w:sz w:val="20"/>
        </w:rPr>
        <w:t>.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(c) Corporate Transaction. </w:t>
      </w:r>
      <w:r>
        <w:rPr>
          <w:rFonts w:ascii="Times New Roman" w:hAnsi="Times New Roman"/>
          <w:caps w:val="false"/>
          <w:smallCaps w:val="false"/>
          <w:sz w:val="20"/>
        </w:rPr>
        <w:t>The following provisions will apply to Awards in the event of a Corporate Transaction except as set forth in Section 11 unless otherwise provided in the instrument evidencing the Award or any other written agreement between the Company or any Affiliate and the Participant or unless otherwise expressly provided by the Board at the time of grant of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 Awards May Be Assumed. </w:t>
      </w:r>
      <w:r>
        <w:rPr>
          <w:rFonts w:ascii="Times New Roman" w:hAnsi="Times New Roman"/>
          <w:caps w:val="false"/>
          <w:smallCaps w:val="false"/>
          <w:sz w:val="20"/>
        </w:rPr>
        <w:t>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 Awards Held by Current Participants. </w:t>
      </w:r>
      <w:r>
        <w:rPr>
          <w:rFonts w:ascii="Times New Roman" w:hAnsi="Times New Roman"/>
          <w:caps w:val="false"/>
          <w:smallCaps w:val="false"/>
          <w:sz w:val="20"/>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caps w:val="false"/>
          <w:smallCaps w:val="false"/>
          <w:sz w:val="20"/>
        </w:rPr>
        <w:t>Current Participants</w:t>
      </w:r>
      <w:r>
        <w:rPr>
          <w:rFonts w:ascii="Times New Roman" w:hAnsi="Times New Roman"/>
          <w:caps w:val="false"/>
          <w:smallCaps w:val="false"/>
          <w:sz w:val="20"/>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(iii) Awards Held by Persons other than Current Participants. </w:t>
      </w:r>
      <w:r>
        <w:rPr>
          <w:rFonts w:ascii="Times New Roman" w:hAnsi="Times New Roman"/>
          <w:caps w:val="false"/>
          <w:smallCaps w:val="false"/>
          <w:sz w:val="20"/>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(iv) Payment for Awards in Lieu of Exercise. </w:t>
      </w:r>
      <w:r>
        <w:rPr>
          <w:rFonts w:ascii="Times New Roman" w:hAnsi="Times New Roman"/>
          <w:caps w:val="false"/>
          <w:smallCaps w:val="false"/>
          <w:sz w:val="20"/>
        </w:rPr>
        <w:t>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For the avoidance of doubt, if the exercise price to be payable by a holder with respect to an Option or SAR exceeds the value of the property the Participant would have received upon the exercise of the Award (including, at the discretion of the Board, any unvested portion of such Award), such Option or SAR may be cancelled without any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(d) Appointment of Stockholder Representative.</w:t>
      </w:r>
      <w:r>
        <w:rPr>
          <w:rFonts w:ascii="Times New Roman" w:hAnsi="Times New Roman"/>
          <w:caps w:val="false"/>
          <w:smallCaps w:val="false"/>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(e) No Restriction on Right to Undertake Transactions</w:t>
      </w:r>
      <w:r>
        <w:rPr>
          <w:rFonts w:ascii="Times New Roman" w:hAnsi="Times New Roman"/>
          <w:caps w:val="false"/>
          <w:smallCaps w:val="false"/>
          <w:sz w:val="20"/>
        </w:rPr>
        <w:t>.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7. ADMINISTRATION.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(a) Administration by Board. </w:t>
      </w:r>
      <w:r>
        <w:rPr>
          <w:rFonts w:ascii="Times New Roman" w:hAnsi="Times New Roman"/>
          <w:caps w:val="false"/>
          <w:smallCaps w:val="false"/>
          <w:sz w:val="20"/>
        </w:rPr>
        <w:t>The Board will administer the Plan unless and until the Board delegates administration of the Plan to a Committee or Committees, as provided in subsection (c)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(b) Powers of Board. </w:t>
      </w:r>
      <w:r>
        <w:rPr>
          <w:rFonts w:ascii="Times New Roman" w:hAnsi="Times New Roman"/>
          <w:caps w:val="false"/>
          <w:smallCaps w:val="false"/>
          <w:sz w:val="20"/>
        </w:rPr>
        <w:t>The Board will have the power, subject to, and within the limitations of, the express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 </w:t>
      </w:r>
      <w:r>
        <w:rPr>
          <w:rFonts w:ascii="Times New Roman" w:hAnsi="Times New Roman"/>
          <w:caps w:val="false"/>
          <w:smallCaps w:val="false"/>
          <w:sz w:val="20"/>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 </w:t>
      </w:r>
      <w:r>
        <w:rPr>
          <w:rFonts w:ascii="Times New Roman" w:hAnsi="Times New Roman"/>
          <w:caps w:val="false"/>
          <w:smallCaps w:val="false"/>
          <w:sz w:val="20"/>
        </w:rPr>
        <w:t>To construe and interpret the Plan and Awards granted under it, and to establish, amend and revoke rules and regulations for its administration. The Board, in the exercise of this power, may correct any defect, omission, ambiguity or inconsistency in the Plan or in any Award Agreement, in a manner and to the extent it deems necessary or expedient to make the Plan or Award fully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xml:space="preserve"> To settle all controversies regarding the Plan and Awards granted under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(iv) </w:t>
      </w:r>
      <w:r>
        <w:rPr>
          <w:rFonts w:ascii="Times New Roman" w:hAnsi="Times New Roman"/>
          <w:caps w:val="false"/>
          <w:smallCaps w:val="false"/>
          <w:sz w:val="20"/>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(v) </w:t>
      </w:r>
      <w:r>
        <w:rPr>
          <w:rFonts w:ascii="Times New Roman" w:hAnsi="Times New Roman"/>
          <w:caps w:val="false"/>
          <w:smallCaps w:val="false"/>
          <w:sz w:val="20"/>
        </w:rPr>
        <w:t>To determine whether, when and to what extent an Award has become vested and/or exercisable and whether any performance-based vesting conditions have been satisfied;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(vi) </w:t>
      </w:r>
      <w:r>
        <w:rPr>
          <w:rFonts w:ascii="Times New Roman" w:hAnsi="Times New Roman"/>
          <w:caps w:val="false"/>
          <w:smallCaps w:val="false"/>
          <w:sz w:val="20"/>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(vii) </w:t>
      </w:r>
      <w:r>
        <w:rPr>
          <w:rFonts w:ascii="Times New Roman" w:hAnsi="Times New Roman"/>
          <w:caps w:val="false"/>
          <w:smallCaps w:val="false"/>
          <w:sz w:val="20"/>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(viii) </w:t>
      </w:r>
      <w:r>
        <w:rPr>
          <w:rFonts w:ascii="Times New Roman" w:hAnsi="Times New Roman"/>
          <w:caps w:val="false"/>
          <w:smallCaps w:val="false"/>
          <w:sz w:val="20"/>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the affected Participant consents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(ix) </w:t>
      </w:r>
      <w:r>
        <w:rPr>
          <w:rFonts w:ascii="Times New Roman" w:hAnsi="Times New Roman"/>
          <w:caps w:val="false"/>
          <w:smallCaps w:val="false"/>
          <w:sz w:val="20"/>
        </w:rPr>
        <w:t>To submit any amendment to the Plan for stockholder approval, to the extent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(x) </w:t>
      </w:r>
      <w:r>
        <w:rPr>
          <w:rFonts w:ascii="Times New Roman" w:hAnsi="Times New Roman"/>
          <w:caps w:val="false"/>
          <w:smallCaps w:val="false"/>
          <w:sz w:val="20"/>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the affected Participant consents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(xi) </w:t>
      </w:r>
      <w:r>
        <w:rPr>
          <w:rFonts w:ascii="Times New Roman" w:hAnsi="Times New Roman"/>
          <w:caps w:val="false"/>
          <w:smallCaps w:val="false"/>
          <w:sz w:val="20"/>
        </w:rPr>
        <w:t>To impose such restrictions, conditions or limitations as it determines appropriate as to the timing and manner of any resales by a Participant of any shares of Common Stock issued pursuant to an Award, including restrictions under a Trading Policy and restrictions as to the use of a specified brokerage firm for such resales;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(xii) </w:t>
      </w:r>
      <w:r>
        <w:rPr>
          <w:rFonts w:ascii="Times New Roman" w:hAnsi="Times New Roman"/>
          <w:caps w:val="false"/>
          <w:smallCaps w:val="false"/>
          <w:sz w:val="20"/>
        </w:rPr>
        <w:t>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(xiii) </w:t>
      </w:r>
      <w:r>
        <w:rPr>
          <w:rFonts w:ascii="Times New Roman" w:hAnsi="Times New Roman"/>
          <w:caps w:val="false"/>
          <w:smallCaps w:val="false"/>
          <w:sz w:val="20"/>
        </w:rPr>
        <w:t>To adopt, amend and rescind such rules and procedures and sub-plans as are necessary or appropriate, as may be determined by the Board,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(xiv) </w:t>
      </w:r>
      <w:r>
        <w:rPr>
          <w:rFonts w:ascii="Times New Roman" w:hAnsi="Times New Roman"/>
          <w:caps w:val="false"/>
          <w:smallCaps w:val="false"/>
          <w:sz w:val="20"/>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caps w:val="false"/>
          <w:smallCaps w:val="false"/>
          <w:sz w:val="20"/>
        </w:rPr>
        <w:t>(c) Delegation to Committee.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 General. </w:t>
      </w:r>
      <w:r>
        <w:rPr>
          <w:rFonts w:ascii="Times New Roman" w:hAnsi="Times New Roman"/>
          <w:caps w:val="false"/>
          <w:smallCaps w:val="false"/>
          <w:sz w:val="20"/>
        </w:rPr>
        <w:t>The Board may delegate some or all of the administration of the Plan to a Committee or Committees. If administration of the Plan is delegated to a Committee, the Committee will have, in connection with the administration of the Plan, and to the extent permitted by Applicable Law,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or the Plan Administrator will thereafter be to the Committee or subcommittee, as applicable),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The Plan Administrator shall comply with rules and regulations applicable to it, including the rules of any exchange on which shares of Common Stock are traded, and shall have the authority and be responsible for such functions as have been assigned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 Rule 16b-3 Compliance. </w:t>
      </w:r>
      <w:r>
        <w:rPr>
          <w:rFonts w:ascii="Times New Roman" w:hAnsi="Times New Roman"/>
          <w:caps w:val="false"/>
          <w:smallCaps w:val="false"/>
          <w:sz w:val="20"/>
        </w:rPr>
        <w:t>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(d) Effect of Board</w:t>
      </w:r>
      <w:r>
        <w:rPr>
          <w:rFonts w:ascii="Times New Roman" w:hAnsi="Times New Roman"/>
          <w:caps w:val="false"/>
          <w:smallCaps w:val="false"/>
          <w:sz w:val="20"/>
        </w:rPr>
        <w:t>’</w:t>
      </w:r>
      <w:r>
        <w:rPr>
          <w:rFonts w:ascii="Times New Roman" w:hAnsi="Times New Roman"/>
          <w:b/>
          <w:caps w:val="false"/>
          <w:smallCaps w:val="false"/>
          <w:sz w:val="20"/>
        </w:rPr>
        <w:t>s Decision.</w:t>
      </w:r>
      <w:r>
        <w:rPr>
          <w:rFonts w:ascii="Times New Roman" w:hAnsi="Times New Roman"/>
          <w:caps w:val="false"/>
          <w:smallCaps w:val="false"/>
          <w:sz w:val="20"/>
        </w:rPr>
        <w:t xml:space="preserve"> All determinations, interpretations and constructions made by the Board or any Committee in good faith will not be subject to review by any person and will be final, binding and conclusive on all persons.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(e) Delegation to an Officer.</w:t>
      </w:r>
      <w:r>
        <w:rPr>
          <w:rFonts w:ascii="Times New Roman" w:hAnsi="Times New Roman"/>
          <w:caps w:val="false"/>
          <w:smallCaps w:val="false"/>
          <w:sz w:val="20"/>
        </w:rPr>
        <w:t xml:space="preserve"> 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8. TAX WITHHOLDING.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(a) Withholding Authorization. </w:t>
      </w:r>
      <w:r>
        <w:rPr>
          <w:rFonts w:ascii="Times New Roman" w:hAnsi="Times New Roman"/>
          <w:caps w:val="false"/>
          <w:smallCaps w:val="false"/>
          <w:sz w:val="20"/>
        </w:rPr>
        <w:t>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(b) Satisfaction of Withholding Obligation.</w:t>
      </w:r>
      <w:r>
        <w:rPr>
          <w:rFonts w:ascii="Times New Roman" w:hAnsi="Times New Roman"/>
          <w:caps w:val="false"/>
          <w:smallCaps w:val="false"/>
          <w:sz w:val="20"/>
        </w:rPr>
        <w:t xml:space="preserve">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(c) No Obligation to Notify or Minimize Taxes; No Liability to Claims. </w:t>
      </w:r>
      <w:r>
        <w:rPr>
          <w:rFonts w:ascii="Times New Roman" w:hAnsi="Times New Roman"/>
          <w:caps w:val="false"/>
          <w:smallCaps w:val="false"/>
          <w:sz w:val="20"/>
        </w:rPr>
        <w:t>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(d) Withholding Indemnification. </w:t>
      </w:r>
      <w:r>
        <w:rPr>
          <w:rFonts w:ascii="Times New Roman" w:hAnsi="Times New Roman"/>
          <w:caps w:val="false"/>
          <w:smallCaps w:val="false"/>
          <w:sz w:val="20"/>
        </w:rPr>
        <w:t>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9. MISCELLANEOUS.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(a) Source of Shares.</w:t>
      </w:r>
      <w:r>
        <w:rPr>
          <w:rFonts w:ascii="Times New Roman" w:hAnsi="Times New Roman"/>
          <w:caps w:val="false"/>
          <w:smallCaps w:val="false"/>
          <w:sz w:val="20"/>
        </w:rPr>
        <w:t xml:space="preserve"> The stock issuable under the Plan will be shares of authorized but unissued or reacquired Common Stock, including shares repurchased by the Company on the open market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(b) Use of Proceeds from Sales of Common Stock. </w:t>
      </w:r>
      <w:r>
        <w:rPr>
          <w:rFonts w:ascii="Times New Roman" w:hAnsi="Times New Roman"/>
          <w:caps w:val="false"/>
          <w:smallCaps w:val="false"/>
          <w:sz w:val="20"/>
        </w:rPr>
        <w:t>Proceeds from the sale of shares of Common Stock pursuant to Awards will constitute general funds of the Company.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(c) Corporate Action Constituting Grant of Awards. </w:t>
      </w:r>
      <w:r>
        <w:rPr>
          <w:rFonts w:ascii="Times New Roman" w:hAnsi="Times New Roman"/>
          <w:caps w:val="false"/>
          <w:smallCaps w:val="false"/>
          <w:sz w:val="20"/>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(d) Stockholder Rights. </w:t>
      </w:r>
      <w:r>
        <w:rPr>
          <w:rFonts w:ascii="Times New Roman" w:hAnsi="Times New Roman"/>
          <w:caps w:val="false"/>
          <w:smallCaps w:val="false"/>
          <w:sz w:val="20"/>
        </w:rPr>
        <w:t>No Participant will be deemed to be the holder of, or to have any of the rights of a holder with respect to, any shares of Common Stock subject to such Award unless and until (i) such Participant has satisfied all requirements for exercise of, or the issuance of shares of Common Stock under, the Award pursuant to its terms, if applicable, and (ii) the issuance of the Common Stock subject to such Award is reflected in the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(e) No Employment or Other Service Rights. </w:t>
      </w:r>
      <w:r>
        <w:rPr>
          <w:rFonts w:ascii="Times New Roman" w:hAnsi="Times New Roman"/>
          <w:caps w:val="false"/>
          <w:smallCaps w:val="false"/>
          <w:sz w:val="20"/>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(f) Change in Time Commitment</w:t>
      </w:r>
      <w:r>
        <w:rPr>
          <w:rFonts w:ascii="Times New Roman" w:hAnsi="Times New Roman"/>
          <w:caps w:val="false"/>
          <w:smallCaps w:val="false"/>
          <w:sz w:val="20"/>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(g) Execution of Additional Documents.</w:t>
      </w:r>
      <w:r>
        <w:rPr>
          <w:rFonts w:ascii="Times New Roman" w:hAnsi="Times New Roman"/>
          <w:caps w:val="false"/>
          <w:smallCaps w:val="false"/>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(h) Electronic Delivery and Participation</w:t>
      </w:r>
      <w:r>
        <w:rPr>
          <w:rFonts w:ascii="Times New Roman" w:hAnsi="Times New Roman"/>
          <w:caps w:val="false"/>
          <w:smallCaps w:val="false"/>
          <w:sz w:val="20"/>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(i) Clawback/Recovery</w:t>
      </w:r>
      <w:r>
        <w:rPr>
          <w:rFonts w:ascii="Times New Roman" w:hAnsi="Times New Roman"/>
          <w:caps w:val="false"/>
          <w:smallCaps w:val="false"/>
          <w:sz w:val="20"/>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(j) Securities Law Compliance.</w:t>
      </w:r>
      <w:r>
        <w:rPr>
          <w:rFonts w:ascii="Times New Roman" w:hAnsi="Times New Roman"/>
          <w:caps w:val="false"/>
          <w:smallCaps w:val="false"/>
          <w:sz w:val="20"/>
        </w:rPr>
        <w:t xml:space="preserve">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(k) Transfer or Assignment of Awards; Issued Shares.</w:t>
      </w:r>
      <w:r>
        <w:rPr>
          <w:rFonts w:ascii="Times New Roman" w:hAnsi="Times New Roman"/>
          <w:caps w:val="false"/>
          <w:smallCaps w:val="false"/>
          <w:sz w:val="20"/>
        </w:rPr>
        <w:t xml:space="preserve">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(l) Effect on Other Employee Benefit Plans. </w:t>
      </w:r>
      <w:r>
        <w:rPr>
          <w:rFonts w:ascii="Times New Roman" w:hAnsi="Times New Roman"/>
          <w:caps w:val="false"/>
          <w:smallCaps w:val="false"/>
          <w:sz w:val="20"/>
        </w:rPr>
        <w:t>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(m) Deferrals.</w:t>
      </w:r>
      <w:r>
        <w:rPr>
          <w:rFonts w:ascii="Times New Roman" w:hAnsi="Times New Roman"/>
          <w:caps w:val="false"/>
          <w:smallCaps w:val="false"/>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(n) Section 409A. </w:t>
      </w:r>
      <w:r>
        <w:rPr>
          <w:rFonts w:ascii="Times New Roman" w:hAnsi="Times New Roman"/>
          <w:caps w:val="false"/>
          <w:smallCaps w:val="false"/>
          <w:sz w:val="20"/>
        </w:rPr>
        <w:t>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(o) Choice of Law. </w:t>
      </w:r>
      <w:r>
        <w:rPr>
          <w:rFonts w:ascii="Times New Roman" w:hAnsi="Times New Roman"/>
          <w:caps w:val="false"/>
          <w:smallCaps w:val="false"/>
          <w:sz w:val="20"/>
        </w:rPr>
        <w:t>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10. COVENANTS OF THE COMPANY.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(a) Compliance with Law. </w:t>
      </w:r>
      <w:r>
        <w:rPr>
          <w:rFonts w:ascii="Times New Roman" w:hAnsi="Times New Roman"/>
          <w:caps w:val="false"/>
          <w:smallCaps w:val="false"/>
          <w:sz w:val="20"/>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11. SEVERABILITY.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12. TERMINATION OF THE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13. DEFINITIONS.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used in the Plan, the following definitions apply to the capitalized terms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(a) </w:t>
      </w:r>
      <w:r>
        <w:rPr>
          <w:rFonts w:ascii="Times New Roman" w:hAnsi="Times New Roman"/>
          <w:caps w:val="false"/>
          <w:smallCaps w:val="false"/>
          <w:sz w:val="20"/>
        </w:rPr>
        <w:t>“</w:t>
      </w:r>
      <w:r>
        <w:rPr>
          <w:rFonts w:ascii="Times New Roman" w:hAnsi="Times New Roman"/>
          <w:b/>
          <w:i/>
          <w:caps w:val="false"/>
          <w:smallCaps w:val="false"/>
          <w:sz w:val="20"/>
        </w:rPr>
        <w:t>Acquiring Entity</w:t>
      </w:r>
      <w:r>
        <w:rPr>
          <w:rFonts w:ascii="Times New Roman" w:hAnsi="Times New Roman"/>
          <w:caps w:val="false"/>
          <w:smallCaps w:val="false"/>
          <w:sz w:val="20"/>
        </w:rPr>
        <w:t>” means the surviving or acquiring corporation (or its parent company) in connection with a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xml:space="preserve"> “</w:t>
      </w:r>
      <w:r>
        <w:rPr>
          <w:rFonts w:ascii="Times New Roman" w:hAnsi="Times New Roman"/>
          <w:b/>
          <w:i/>
          <w:caps w:val="false"/>
          <w:smallCaps w:val="false"/>
          <w:sz w:val="20"/>
        </w:rPr>
        <w:t>Adoption Date</w:t>
      </w:r>
      <w:r>
        <w:rPr>
          <w:rFonts w:ascii="Times New Roman" w:hAnsi="Times New Roman"/>
          <w:caps w:val="false"/>
          <w:smallCaps w:val="false"/>
          <w:sz w:val="20"/>
        </w:rPr>
        <w:t>” means the date the Plan is first approved by the Board or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(c) </w:t>
      </w:r>
      <w:r>
        <w:rPr>
          <w:rFonts w:ascii="Times New Roman" w:hAnsi="Times New Roman"/>
          <w:caps w:val="false"/>
          <w:smallCaps w:val="false"/>
          <w:sz w:val="20"/>
        </w:rPr>
        <w:t>“</w:t>
      </w:r>
      <w:r>
        <w:rPr>
          <w:rFonts w:ascii="Times New Roman" w:hAnsi="Times New Roman"/>
          <w:b/>
          <w:i/>
          <w:caps w:val="false"/>
          <w:smallCaps w:val="false"/>
          <w:sz w:val="20"/>
        </w:rPr>
        <w:t>Affiliate</w:t>
      </w:r>
      <w:r>
        <w:rPr>
          <w:rFonts w:ascii="Times New Roman" w:hAnsi="Times New Roman"/>
          <w:caps w:val="false"/>
          <w:smallCaps w:val="false"/>
          <w:sz w:val="20"/>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(d) </w:t>
      </w:r>
      <w:r>
        <w:rPr>
          <w:rFonts w:ascii="Times New Roman" w:hAnsi="Times New Roman"/>
          <w:caps w:val="false"/>
          <w:smallCaps w:val="false"/>
          <w:sz w:val="20"/>
        </w:rPr>
        <w:t>“</w:t>
      </w:r>
      <w:r>
        <w:rPr>
          <w:rFonts w:ascii="Times New Roman" w:hAnsi="Times New Roman"/>
          <w:b/>
          <w:i/>
          <w:caps w:val="false"/>
          <w:smallCaps w:val="false"/>
          <w:sz w:val="20"/>
        </w:rPr>
        <w:t>Applicable Law</w:t>
      </w:r>
      <w:r>
        <w:rPr>
          <w:rFonts w:ascii="Times New Roman" w:hAnsi="Times New Roman"/>
          <w:caps w:val="false"/>
          <w:smallCaps w:val="false"/>
          <w:sz w:val="20"/>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(e) </w:t>
      </w:r>
      <w:r>
        <w:rPr>
          <w:rFonts w:ascii="Times New Roman" w:hAnsi="Times New Roman"/>
          <w:caps w:val="false"/>
          <w:smallCaps w:val="false"/>
          <w:sz w:val="20"/>
        </w:rPr>
        <w:t>“</w:t>
      </w:r>
      <w:r>
        <w:rPr>
          <w:rFonts w:ascii="Times New Roman" w:hAnsi="Times New Roman"/>
          <w:b/>
          <w:i/>
          <w:caps w:val="false"/>
          <w:smallCaps w:val="false"/>
          <w:sz w:val="20"/>
        </w:rPr>
        <w:t>Award</w:t>
      </w:r>
      <w:r>
        <w:rPr>
          <w:rFonts w:ascii="Times New Roman" w:hAnsi="Times New Roman"/>
          <w:caps w:val="false"/>
          <w:smallCaps w:val="false"/>
          <w:sz w:val="20"/>
        </w:rPr>
        <w:t>” means any right to receive Common Stock, cash or other property granted under the Plan (including an Incentive Stock Option, a Nonstatutory Stock Option, a Restricted Stock Award, an RSU Award, a SAR, a Performance Award or any Other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(f) </w:t>
      </w:r>
      <w:r>
        <w:rPr>
          <w:rFonts w:ascii="Times New Roman" w:hAnsi="Times New Roman"/>
          <w:caps w:val="false"/>
          <w:smallCaps w:val="false"/>
          <w:sz w:val="20"/>
        </w:rPr>
        <w:t>“</w:t>
      </w:r>
      <w:r>
        <w:rPr>
          <w:rFonts w:ascii="Times New Roman" w:hAnsi="Times New Roman"/>
          <w:b/>
          <w:i/>
          <w:caps w:val="false"/>
          <w:smallCaps w:val="false"/>
          <w:sz w:val="20"/>
        </w:rPr>
        <w:t>Award Agreement</w:t>
      </w:r>
      <w:r>
        <w:rPr>
          <w:rFonts w:ascii="Times New Roman" w:hAnsi="Times New Roman"/>
          <w:caps w:val="false"/>
          <w:smallCaps w:val="false"/>
          <w:sz w:val="20"/>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(g) </w:t>
      </w:r>
      <w:r>
        <w:rPr>
          <w:rFonts w:ascii="Times New Roman" w:hAnsi="Times New Roman"/>
          <w:caps w:val="false"/>
          <w:smallCaps w:val="false"/>
          <w:sz w:val="20"/>
        </w:rPr>
        <w:t>“</w:t>
      </w:r>
      <w:r>
        <w:rPr>
          <w:rFonts w:ascii="Times New Roman" w:hAnsi="Times New Roman"/>
          <w:b/>
          <w:i/>
          <w:caps w:val="false"/>
          <w:smallCaps w:val="false"/>
          <w:sz w:val="20"/>
        </w:rPr>
        <w:t>Board</w:t>
      </w:r>
      <w:r>
        <w:rPr>
          <w:rFonts w:ascii="Times New Roman" w:hAnsi="Times New Roman"/>
          <w:caps w:val="false"/>
          <w:smallCaps w:val="false"/>
          <w:sz w:val="20"/>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(h) </w:t>
      </w:r>
      <w:r>
        <w:rPr>
          <w:rFonts w:ascii="Times New Roman" w:hAnsi="Times New Roman"/>
          <w:caps w:val="false"/>
          <w:smallCaps w:val="false"/>
          <w:sz w:val="20"/>
        </w:rPr>
        <w:t>“</w:t>
      </w:r>
      <w:r>
        <w:rPr>
          <w:rFonts w:ascii="Times New Roman" w:hAnsi="Times New Roman"/>
          <w:b/>
          <w:i/>
          <w:caps w:val="false"/>
          <w:smallCaps w:val="false"/>
          <w:sz w:val="20"/>
        </w:rPr>
        <w:t>Capitalization Adjustment</w:t>
      </w:r>
      <w:r>
        <w:rPr>
          <w:rFonts w:ascii="Times New Roman" w:hAnsi="Times New Roman"/>
          <w:caps w:val="false"/>
          <w:smallCaps w:val="false"/>
          <w:sz w:val="20"/>
        </w:rPr>
        <w:t>” means any change that is made in, or other events that occur with respect to, the Common Stock subject to the 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(i) </w:t>
      </w:r>
      <w:r>
        <w:rPr>
          <w:rFonts w:ascii="Times New Roman" w:hAnsi="Times New Roman"/>
          <w:caps w:val="false"/>
          <w:smallCaps w:val="false"/>
          <w:sz w:val="20"/>
        </w:rPr>
        <w:t>“</w:t>
      </w:r>
      <w:r>
        <w:rPr>
          <w:rFonts w:ascii="Times New Roman" w:hAnsi="Times New Roman"/>
          <w:b/>
          <w:i/>
          <w:caps w:val="false"/>
          <w:smallCaps w:val="false"/>
          <w:sz w:val="20"/>
        </w:rPr>
        <w:t>Cause</w:t>
      </w:r>
      <w:r>
        <w:rPr>
          <w:rFonts w:ascii="Times New Roman" w:hAnsi="Times New Roman"/>
          <w:caps w:val="false"/>
          <w:smallCaps w:val="false"/>
          <w:sz w:val="20"/>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(j) </w:t>
      </w:r>
      <w:r>
        <w:rPr>
          <w:rFonts w:ascii="Times New Roman" w:hAnsi="Times New Roman"/>
          <w:caps w:val="false"/>
          <w:smallCaps w:val="false"/>
          <w:sz w:val="20"/>
        </w:rPr>
        <w:t>“</w:t>
      </w:r>
      <w:r>
        <w:rPr>
          <w:rFonts w:ascii="Times New Roman" w:hAnsi="Times New Roman"/>
          <w:b/>
          <w:i/>
          <w:caps w:val="false"/>
          <w:smallCaps w:val="false"/>
          <w:sz w:val="20"/>
        </w:rPr>
        <w:t>Change in Control</w:t>
      </w:r>
      <w:r>
        <w:rPr>
          <w:rFonts w:ascii="Times New Roman" w:hAnsi="Times New Roman"/>
          <w:caps w:val="false"/>
          <w:smallCaps w:val="false"/>
          <w:sz w:val="20"/>
        </w:rPr>
        <w:t>” or “</w:t>
      </w:r>
      <w:r>
        <w:rPr>
          <w:rFonts w:ascii="Times New Roman" w:hAnsi="Times New Roman"/>
          <w:b/>
          <w:i/>
          <w:caps w:val="false"/>
          <w:smallCaps w:val="false"/>
          <w:sz w:val="20"/>
        </w:rPr>
        <w:t>Change of Control</w:t>
      </w:r>
      <w:r>
        <w:rPr>
          <w:rFonts w:ascii="Times New Roman" w:hAnsi="Times New Roman"/>
          <w:caps w:val="false"/>
          <w:smallCaps w:val="false"/>
          <w:sz w:val="20"/>
        </w:rPr>
        <w:t>” means the occurrence, in a single transaction or in a series of related transactions, of any one or more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 </w:t>
      </w:r>
      <w:r>
        <w:rPr>
          <w:rFonts w:ascii="Times New Roman" w:hAnsi="Times New Roman"/>
          <w:caps w:val="false"/>
          <w:smallCaps w:val="false"/>
          <w:sz w:val="20"/>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caps w:val="false"/>
          <w:smallCaps w:val="false"/>
          <w:sz w:val="20"/>
        </w:rPr>
        <w:t>Subject Person</w:t>
      </w:r>
      <w:r>
        <w:rPr>
          <w:rFonts w:ascii="Times New Roman" w:hAnsi="Times New Roman"/>
          <w:caps w:val="false"/>
          <w:smallCaps w:val="false"/>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 </w:t>
      </w:r>
      <w:r>
        <w:rPr>
          <w:rFonts w:ascii="Times New Roman" w:hAnsi="Times New Roman"/>
          <w:caps w:val="false"/>
          <w:smallCaps w:val="false"/>
          <w:sz w:val="20"/>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(iii) </w:t>
      </w:r>
      <w:r>
        <w:rPr>
          <w:rFonts w:ascii="Times New Roman" w:hAnsi="Times New Roman"/>
          <w:caps w:val="false"/>
          <w:smallCaps w:val="false"/>
          <w:sz w:val="20"/>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(iv) </w:t>
      </w:r>
      <w:r>
        <w:rPr>
          <w:rFonts w:ascii="Times New Roman" w:hAnsi="Times New Roman"/>
          <w:caps w:val="false"/>
          <w:smallCaps w:val="false"/>
          <w:sz w:val="20"/>
        </w:rPr>
        <w:t>individuals who, on the date the Plan is adopted by the Board, are members of the Board (the “</w:t>
      </w:r>
      <w:r>
        <w:rPr>
          <w:rFonts w:ascii="Times New Roman" w:hAnsi="Times New Roman"/>
          <w:b/>
          <w:i/>
          <w:caps w:val="false"/>
          <w:smallCaps w:val="false"/>
          <w:sz w:val="20"/>
        </w:rPr>
        <w:t>Incumbent Board</w:t>
      </w:r>
      <w:r>
        <w:rPr>
          <w:rFonts w:ascii="Times New Roman" w:hAnsi="Times New Roman"/>
          <w:caps w:val="false"/>
          <w:smallCaps w:val="false"/>
          <w:sz w:val="20"/>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(k)</w:t>
      </w:r>
      <w:r>
        <w:rPr>
          <w:rFonts w:ascii="Times New Roman" w:hAnsi="Times New Roman"/>
          <w:caps w:val="false"/>
          <w:smallCaps w:val="false"/>
          <w:sz w:val="20"/>
        </w:rPr>
        <w:t xml:space="preserve"> “</w:t>
      </w:r>
      <w:r>
        <w:rPr>
          <w:rFonts w:ascii="Times New Roman" w:hAnsi="Times New Roman"/>
          <w:b/>
          <w:i/>
          <w:caps w:val="false"/>
          <w:smallCaps w:val="false"/>
          <w:sz w:val="20"/>
        </w:rPr>
        <w:t>Closing</w:t>
      </w:r>
      <w:r>
        <w:rPr>
          <w:rFonts w:ascii="Times New Roman" w:hAnsi="Times New Roman"/>
          <w:caps w:val="false"/>
          <w:smallCaps w:val="false"/>
          <w:sz w:val="20"/>
        </w:rPr>
        <w:t>” has the meaning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(l) </w:t>
      </w:r>
      <w:r>
        <w:rPr>
          <w:rFonts w:ascii="Times New Roman" w:hAnsi="Times New Roman"/>
          <w:caps w:val="false"/>
          <w:smallCaps w:val="false"/>
          <w:sz w:val="20"/>
        </w:rPr>
        <w:t>“</w:t>
      </w:r>
      <w:r>
        <w:rPr>
          <w:rFonts w:ascii="Times New Roman" w:hAnsi="Times New Roman"/>
          <w:b/>
          <w:i/>
          <w:caps w:val="false"/>
          <w:smallCaps w:val="false"/>
          <w:sz w:val="20"/>
        </w:rPr>
        <w:t>Code</w:t>
      </w:r>
      <w:r>
        <w:rPr>
          <w:rFonts w:ascii="Times New Roman" w:hAnsi="Times New Roman"/>
          <w:caps w:val="false"/>
          <w:smallCaps w:val="false"/>
          <w:sz w:val="20"/>
        </w:rPr>
        <w:t>” means the Internal Revenue Code of 1986, as amended, including any applicable regulations and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(m) </w:t>
      </w:r>
      <w:r>
        <w:rPr>
          <w:rFonts w:ascii="Times New Roman" w:hAnsi="Times New Roman"/>
          <w:caps w:val="false"/>
          <w:smallCaps w:val="false"/>
          <w:sz w:val="20"/>
        </w:rPr>
        <w:t>“</w:t>
      </w:r>
      <w:r>
        <w:rPr>
          <w:rFonts w:ascii="Times New Roman" w:hAnsi="Times New Roman"/>
          <w:b/>
          <w:i/>
          <w:caps w:val="false"/>
          <w:smallCaps w:val="false"/>
          <w:sz w:val="20"/>
        </w:rPr>
        <w:t>Committee</w:t>
      </w:r>
      <w:r>
        <w:rPr>
          <w:rFonts w:ascii="Times New Roman" w:hAnsi="Times New Roman"/>
          <w:caps w:val="false"/>
          <w:smallCaps w:val="false"/>
          <w:sz w:val="20"/>
        </w:rPr>
        <w:t>” means the Compensation Committee and any other committee of one or more Directors to whom authority has been delegated by the Board or Compensation Committee in accordance with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(n)</w:t>
      </w:r>
      <w:r>
        <w:rPr>
          <w:rFonts w:ascii="Times New Roman" w:hAnsi="Times New Roman"/>
          <w:caps w:val="false"/>
          <w:smallCaps w:val="false"/>
          <w:sz w:val="20"/>
        </w:rPr>
        <w:t xml:space="preserve"> “</w:t>
      </w:r>
      <w:r>
        <w:rPr>
          <w:rFonts w:ascii="Times New Roman" w:hAnsi="Times New Roman"/>
          <w:b/>
          <w:i/>
          <w:caps w:val="false"/>
          <w:smallCaps w:val="false"/>
          <w:sz w:val="20"/>
        </w:rPr>
        <w:t>Common Stock</w:t>
      </w:r>
      <w:r>
        <w:rPr>
          <w:rFonts w:ascii="Times New Roman" w:hAnsi="Times New Roman"/>
          <w:caps w:val="false"/>
          <w:smallCaps w:val="false"/>
          <w:sz w:val="20"/>
        </w:rPr>
        <w:t>” means the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(o)</w:t>
      </w:r>
      <w:r>
        <w:rPr>
          <w:rFonts w:ascii="Times New Roman" w:hAnsi="Times New Roman"/>
          <w:caps w:val="false"/>
          <w:smallCaps w:val="false"/>
          <w:sz w:val="20"/>
        </w:rPr>
        <w:t xml:space="preserve"> “</w:t>
      </w:r>
      <w:r>
        <w:rPr>
          <w:rFonts w:ascii="Times New Roman" w:hAnsi="Times New Roman"/>
          <w:b/>
          <w:i/>
          <w:caps w:val="false"/>
          <w:smallCaps w:val="false"/>
          <w:sz w:val="20"/>
        </w:rPr>
        <w:t>Company</w:t>
      </w:r>
      <w:r>
        <w:rPr>
          <w:rFonts w:ascii="Times New Roman" w:hAnsi="Times New Roman"/>
          <w:caps w:val="false"/>
          <w:smallCaps w:val="false"/>
          <w:sz w:val="20"/>
        </w:rPr>
        <w:t>” means Banzai International,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(p)</w:t>
      </w:r>
      <w:r>
        <w:rPr>
          <w:rFonts w:ascii="Times New Roman" w:hAnsi="Times New Roman"/>
          <w:caps w:val="false"/>
          <w:smallCaps w:val="false"/>
          <w:sz w:val="20"/>
        </w:rPr>
        <w:t xml:space="preserve"> “</w:t>
      </w:r>
      <w:r>
        <w:rPr>
          <w:rFonts w:ascii="Times New Roman" w:hAnsi="Times New Roman"/>
          <w:b/>
          <w:i/>
          <w:caps w:val="false"/>
          <w:smallCaps w:val="false"/>
          <w:sz w:val="20"/>
        </w:rPr>
        <w:t>Compensation Committee</w:t>
      </w:r>
      <w:r>
        <w:rPr>
          <w:rFonts w:ascii="Times New Roman" w:hAnsi="Times New Roman"/>
          <w:caps w:val="false"/>
          <w:smallCaps w:val="false"/>
          <w:sz w:val="20"/>
        </w:rPr>
        <w:t>” means the Compensation Committee of the Board.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(q) </w:t>
      </w:r>
      <w:r>
        <w:rPr>
          <w:rFonts w:ascii="Times New Roman" w:hAnsi="Times New Roman"/>
          <w:caps w:val="false"/>
          <w:smallCaps w:val="false"/>
          <w:sz w:val="20"/>
        </w:rPr>
        <w:t>“</w:t>
      </w:r>
      <w:r>
        <w:rPr>
          <w:rFonts w:ascii="Times New Roman" w:hAnsi="Times New Roman"/>
          <w:b/>
          <w:i/>
          <w:caps w:val="false"/>
          <w:smallCaps w:val="false"/>
          <w:sz w:val="20"/>
        </w:rPr>
        <w:t>Consultant</w:t>
      </w:r>
      <w:r>
        <w:rPr>
          <w:rFonts w:ascii="Times New Roman" w:hAnsi="Times New Roman"/>
          <w:caps w:val="false"/>
          <w:smallCaps w:val="false"/>
          <w:sz w:val="20"/>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(r) </w:t>
      </w:r>
      <w:r>
        <w:rPr>
          <w:rFonts w:ascii="Times New Roman" w:hAnsi="Times New Roman"/>
          <w:caps w:val="false"/>
          <w:smallCaps w:val="false"/>
          <w:sz w:val="20"/>
        </w:rPr>
        <w:t>“</w:t>
      </w:r>
      <w:r>
        <w:rPr>
          <w:rFonts w:ascii="Times New Roman" w:hAnsi="Times New Roman"/>
          <w:b/>
          <w:i/>
          <w:caps w:val="false"/>
          <w:smallCaps w:val="false"/>
          <w:sz w:val="20"/>
        </w:rPr>
        <w:t>Continuous Service</w:t>
      </w:r>
      <w:r>
        <w:rPr>
          <w:rFonts w:ascii="Times New Roman" w:hAnsi="Times New Roman"/>
          <w:caps w:val="false"/>
          <w:smallCaps w:val="false"/>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(s) </w:t>
      </w:r>
      <w:r>
        <w:rPr>
          <w:rFonts w:ascii="Times New Roman" w:hAnsi="Times New Roman"/>
          <w:caps w:val="false"/>
          <w:smallCaps w:val="false"/>
          <w:sz w:val="20"/>
        </w:rPr>
        <w:t>“</w:t>
      </w:r>
      <w:r>
        <w:rPr>
          <w:rFonts w:ascii="Times New Roman" w:hAnsi="Times New Roman"/>
          <w:b/>
          <w:i/>
          <w:caps w:val="false"/>
          <w:smallCaps w:val="false"/>
          <w:sz w:val="20"/>
        </w:rPr>
        <w:t>Corporate Transaction</w:t>
      </w:r>
      <w:r>
        <w:rPr>
          <w:rFonts w:ascii="Times New Roman" w:hAnsi="Times New Roman"/>
          <w:caps w:val="false"/>
          <w:smallCaps w:val="false"/>
          <w:sz w:val="20"/>
        </w:rPr>
        <w:t>” means the consummation, in a single transaction or in a series of related transactions, of any one or more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 </w:t>
      </w:r>
      <w:r>
        <w:rPr>
          <w:rFonts w:ascii="Times New Roman" w:hAnsi="Times New Roman"/>
          <w:caps w:val="false"/>
          <w:smallCaps w:val="false"/>
          <w:sz w:val="20"/>
        </w:rPr>
        <w:t>a sale or other disposition of all or substantially all, as determined by the Board in its sole discretion, of the consolidated assets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xml:space="preserve"> a sale or other disposition of at least 50% of the outstanding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(iii) </w:t>
      </w:r>
      <w:r>
        <w:rPr>
          <w:rFonts w:ascii="Times New Roman" w:hAnsi="Times New Roman"/>
          <w:caps w:val="false"/>
          <w:smallCaps w:val="false"/>
          <w:sz w:val="20"/>
        </w:rPr>
        <w:t>a merger, consolidation or similar transaction following which the Company is not the surviving corporation;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(iv) </w:t>
      </w:r>
      <w:r>
        <w:rPr>
          <w:rFonts w:ascii="Times New Roman" w:hAnsi="Times New Roman"/>
          <w:caps w:val="false"/>
          <w:smallCaps w:val="false"/>
          <w:sz w:val="20"/>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(t)</w:t>
      </w:r>
      <w:r>
        <w:rPr>
          <w:rFonts w:ascii="Times New Roman" w:hAnsi="Times New Roman"/>
          <w:caps w:val="false"/>
          <w:smallCaps w:val="false"/>
          <w:sz w:val="20"/>
        </w:rPr>
        <w:t xml:space="preserve"> “</w:t>
      </w:r>
      <w:r>
        <w:rPr>
          <w:rFonts w:ascii="Times New Roman" w:hAnsi="Times New Roman"/>
          <w:b/>
          <w:i/>
          <w:caps w:val="false"/>
          <w:smallCaps w:val="false"/>
          <w:sz w:val="20"/>
        </w:rPr>
        <w:t>Director</w:t>
      </w:r>
      <w:r>
        <w:rPr>
          <w:rFonts w:ascii="Times New Roman" w:hAnsi="Times New Roman"/>
          <w:caps w:val="false"/>
          <w:smallCaps w:val="false"/>
          <w:sz w:val="20"/>
        </w:rPr>
        <w:t>” means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(u) </w:t>
      </w:r>
      <w:r>
        <w:rPr>
          <w:rFonts w:ascii="Times New Roman" w:hAnsi="Times New Roman"/>
          <w:caps w:val="false"/>
          <w:smallCaps w:val="false"/>
          <w:sz w:val="20"/>
        </w:rPr>
        <w:t>“</w:t>
      </w:r>
      <w:r>
        <w:rPr>
          <w:rFonts w:ascii="Times New Roman" w:hAnsi="Times New Roman"/>
          <w:b/>
          <w:i/>
          <w:caps w:val="false"/>
          <w:smallCaps w:val="false"/>
          <w:sz w:val="20"/>
        </w:rPr>
        <w:t>determine</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or </w:t>
      </w:r>
      <w:r>
        <w:rPr>
          <w:rFonts w:ascii="Times New Roman" w:hAnsi="Times New Roman"/>
          <w:caps w:val="false"/>
          <w:smallCaps w:val="false"/>
          <w:sz w:val="20"/>
        </w:rPr>
        <w:t>“</w:t>
      </w:r>
      <w:r>
        <w:rPr>
          <w:rFonts w:ascii="Times New Roman" w:hAnsi="Times New Roman"/>
          <w:b/>
          <w:i/>
          <w:caps w:val="false"/>
          <w:smallCaps w:val="false"/>
          <w:sz w:val="20"/>
        </w:rPr>
        <w:t>determined</w:t>
      </w:r>
      <w:r>
        <w:rPr>
          <w:rFonts w:ascii="Times New Roman" w:hAnsi="Times New Roman"/>
          <w:caps w:val="false"/>
          <w:smallCaps w:val="false"/>
          <w:sz w:val="20"/>
        </w:rPr>
        <w:t>” means as determined by the Board or the Committee (or its designee)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(v) </w:t>
      </w:r>
      <w:r>
        <w:rPr>
          <w:rFonts w:ascii="Times New Roman" w:hAnsi="Times New Roman"/>
          <w:caps w:val="false"/>
          <w:smallCaps w:val="false"/>
          <w:sz w:val="20"/>
        </w:rPr>
        <w:t>“</w:t>
      </w:r>
      <w:r>
        <w:rPr>
          <w:rFonts w:ascii="Times New Roman" w:hAnsi="Times New Roman"/>
          <w:b/>
          <w:i/>
          <w:caps w:val="false"/>
          <w:smallCaps w:val="false"/>
          <w:sz w:val="20"/>
        </w:rPr>
        <w:t>Disability</w:t>
      </w:r>
      <w:r>
        <w:rPr>
          <w:rFonts w:ascii="Times New Roman" w:hAnsi="Times New Roman"/>
          <w:caps w:val="false"/>
          <w:smallCaps w:val="false"/>
          <w:sz w:val="20"/>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(w) </w:t>
      </w:r>
      <w:r>
        <w:rPr>
          <w:rFonts w:ascii="Times New Roman" w:hAnsi="Times New Roman"/>
          <w:caps w:val="false"/>
          <w:smallCaps w:val="false"/>
          <w:sz w:val="20"/>
        </w:rPr>
        <w:t>“</w:t>
      </w:r>
      <w:r>
        <w:rPr>
          <w:rFonts w:ascii="Times New Roman" w:hAnsi="Times New Roman"/>
          <w:b/>
          <w:i/>
          <w:caps w:val="false"/>
          <w:smallCaps w:val="false"/>
          <w:sz w:val="20"/>
        </w:rPr>
        <w:t>Effective Date</w:t>
      </w:r>
      <w:r>
        <w:rPr>
          <w:rFonts w:ascii="Times New Roman" w:hAnsi="Times New Roman"/>
          <w:caps w:val="false"/>
          <w:smallCaps w:val="false"/>
          <w:sz w:val="20"/>
        </w:rPr>
        <w:t>” means the effective date of this Plan, which is the date of the Closing, provided that this Plan is approved by the Company’s stockholders prior to such date.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(x) </w:t>
      </w:r>
      <w:r>
        <w:rPr>
          <w:rFonts w:ascii="Times New Roman" w:hAnsi="Times New Roman"/>
          <w:caps w:val="false"/>
          <w:smallCaps w:val="false"/>
          <w:sz w:val="20"/>
        </w:rPr>
        <w:t>“</w:t>
      </w:r>
      <w:r>
        <w:rPr>
          <w:rFonts w:ascii="Times New Roman" w:hAnsi="Times New Roman"/>
          <w:b/>
          <w:i/>
          <w:caps w:val="false"/>
          <w:smallCaps w:val="false"/>
          <w:sz w:val="20"/>
        </w:rPr>
        <w:t>Employee</w:t>
      </w:r>
      <w:r>
        <w:rPr>
          <w:rFonts w:ascii="Times New Roman" w:hAnsi="Times New Roman"/>
          <w:caps w:val="false"/>
          <w:smallCaps w:val="false"/>
          <w:sz w:val="20"/>
        </w:rPr>
        <w:t>” 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(y)</w:t>
      </w:r>
      <w:r>
        <w:rPr>
          <w:rFonts w:ascii="Times New Roman" w:hAnsi="Times New Roman"/>
          <w:caps w:val="false"/>
          <w:smallCaps w:val="false"/>
          <w:sz w:val="20"/>
        </w:rPr>
        <w:t xml:space="preserve"> “</w:t>
      </w:r>
      <w:r>
        <w:rPr>
          <w:rFonts w:ascii="Times New Roman" w:hAnsi="Times New Roman"/>
          <w:b/>
          <w:i/>
          <w:caps w:val="false"/>
          <w:smallCaps w:val="false"/>
          <w:sz w:val="20"/>
        </w:rPr>
        <w:t>Employer</w:t>
      </w:r>
      <w:r>
        <w:rPr>
          <w:rFonts w:ascii="Times New Roman" w:hAnsi="Times New Roman"/>
          <w:caps w:val="false"/>
          <w:smallCaps w:val="false"/>
          <w:sz w:val="20"/>
        </w:rPr>
        <w:t>” means the Company or the Affiliate of the Company that employs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(z)</w:t>
      </w:r>
      <w:r>
        <w:rPr>
          <w:rFonts w:ascii="Times New Roman" w:hAnsi="Times New Roman"/>
          <w:caps w:val="false"/>
          <w:smallCaps w:val="false"/>
          <w:sz w:val="20"/>
        </w:rPr>
        <w:t xml:space="preserve"> “</w:t>
      </w:r>
      <w:r>
        <w:rPr>
          <w:rFonts w:ascii="Times New Roman" w:hAnsi="Times New Roman"/>
          <w:b/>
          <w:i/>
          <w:caps w:val="false"/>
          <w:smallCaps w:val="false"/>
          <w:sz w:val="20"/>
        </w:rPr>
        <w:t>Entity</w:t>
      </w:r>
      <w:r>
        <w:rPr>
          <w:rFonts w:ascii="Times New Roman" w:hAnsi="Times New Roman"/>
          <w:caps w:val="false"/>
          <w:smallCaps w:val="false"/>
          <w:sz w:val="20"/>
        </w:rPr>
        <w:t>” means a corporation, partnership, limited liability company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(aa) </w:t>
      </w:r>
      <w:r>
        <w:rPr>
          <w:rFonts w:ascii="Times New Roman" w:hAnsi="Times New Roman"/>
          <w:caps w:val="false"/>
          <w:smallCaps w:val="false"/>
          <w:sz w:val="20"/>
        </w:rPr>
        <w:t>“</w:t>
      </w:r>
      <w:r>
        <w:rPr>
          <w:rFonts w:ascii="Times New Roman" w:hAnsi="Times New Roman"/>
          <w:b/>
          <w:i/>
          <w:caps w:val="false"/>
          <w:smallCaps w:val="false"/>
          <w:sz w:val="20"/>
        </w:rPr>
        <w:t>Exchange Act</w:t>
      </w:r>
      <w:r>
        <w:rPr>
          <w:rFonts w:ascii="Times New Roman" w:hAnsi="Times New Roman"/>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(bb)</w:t>
      </w:r>
      <w:r>
        <w:rPr>
          <w:rFonts w:ascii="Times New Roman" w:hAnsi="Times New Roman"/>
          <w:caps w:val="false"/>
          <w:smallCaps w:val="false"/>
          <w:sz w:val="20"/>
        </w:rPr>
        <w:t>”</w:t>
      </w:r>
      <w:r>
        <w:rPr>
          <w:rFonts w:ascii="Times New Roman" w:hAnsi="Times New Roman"/>
          <w:b/>
          <w:i/>
          <w:caps w:val="false"/>
          <w:smallCaps w:val="false"/>
          <w:sz w:val="20"/>
        </w:rPr>
        <w:t>Exchange Act Person</w:t>
      </w:r>
      <w:r>
        <w:rPr>
          <w:rFonts w:ascii="Times New Roman" w:hAnsi="Times New Roman"/>
          <w:caps w:val="false"/>
          <w:smallCaps w:val="false"/>
          <w:sz w:val="20"/>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(cc) </w:t>
      </w:r>
      <w:r>
        <w:rPr>
          <w:rFonts w:ascii="Times New Roman" w:hAnsi="Times New Roman"/>
          <w:caps w:val="false"/>
          <w:smallCaps w:val="false"/>
          <w:sz w:val="20"/>
        </w:rPr>
        <w:t>“</w:t>
      </w:r>
      <w:r>
        <w:rPr>
          <w:rFonts w:ascii="Times New Roman" w:hAnsi="Times New Roman"/>
          <w:b/>
          <w:i/>
          <w:caps w:val="false"/>
          <w:smallCaps w:val="false"/>
          <w:sz w:val="20"/>
        </w:rPr>
        <w:t>Fair Market Value</w:t>
      </w:r>
      <w:r>
        <w:rPr>
          <w:rFonts w:ascii="Times New Roman" w:hAnsi="Times New Roman"/>
          <w:caps w:val="false"/>
          <w:smallCaps w:val="false"/>
          <w:sz w:val="20"/>
        </w:rPr>
        <w:t>” means, as of any date, unless otherwise determined by the Board, the value of the Common Stock (as determined on a per share or aggregate basis, as applicable)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 </w:t>
      </w:r>
      <w:r>
        <w:rPr>
          <w:rFonts w:ascii="Times New Roman" w:hAnsi="Times New Roman"/>
          <w:caps w:val="false"/>
          <w:smallCaps w:val="false"/>
          <w:sz w:val="20"/>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 </w:t>
      </w:r>
      <w:r>
        <w:rPr>
          <w:rFonts w:ascii="Times New Roman" w:hAnsi="Times New Roman"/>
          <w:caps w:val="false"/>
          <w:smallCaps w:val="false"/>
          <w:sz w:val="20"/>
        </w:rPr>
        <w:t>If there is no closing sales price for the Common Stock on the date of determination, then the Fair Market Value will be the closing selling price on the last preceding date for which such quotation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(iii) </w:t>
      </w:r>
      <w:r>
        <w:rPr>
          <w:rFonts w:ascii="Times New Roman" w:hAnsi="Times New Roman"/>
          <w:caps w:val="false"/>
          <w:smallCaps w:val="false"/>
          <w:sz w:val="20"/>
        </w:rPr>
        <w:t>In the absence of such markets for the Common Stock, or if otherwise determined by the Board, the Fair Market Value will be determined by the Board in good faith and in a manner that complies with Sections 409A and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(dd)</w:t>
      </w:r>
      <w:r>
        <w:rPr>
          <w:rFonts w:ascii="Times New Roman" w:hAnsi="Times New Roman"/>
          <w:caps w:val="false"/>
          <w:smallCaps w:val="false"/>
          <w:sz w:val="20"/>
        </w:rPr>
        <w:t>”</w:t>
      </w:r>
      <w:r>
        <w:rPr>
          <w:rFonts w:ascii="Times New Roman" w:hAnsi="Times New Roman"/>
          <w:b/>
          <w:i/>
          <w:caps w:val="false"/>
          <w:smallCaps w:val="false"/>
          <w:sz w:val="20"/>
        </w:rPr>
        <w:t>Fully Diluted Common Stock</w:t>
      </w:r>
      <w:r>
        <w:rPr>
          <w:rFonts w:ascii="Times New Roman" w:hAnsi="Times New Roman"/>
          <w:caps w:val="false"/>
          <w:smallCaps w:val="false"/>
          <w:sz w:val="20"/>
        </w:rPr>
        <w:t>” means the number of shares of Common Stock, determined as of the applicable time of measurement, equal to the sum of (i) the total number of shares of Common Stock issued and outstanding and (ii) the total number of shares of Common Stock subject to securities that are convertible into or exercisable for shares of Common Stock (whether vested or unvested).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(ee) </w:t>
      </w:r>
      <w:r>
        <w:rPr>
          <w:rFonts w:ascii="Times New Roman" w:hAnsi="Times New Roman"/>
          <w:caps w:val="false"/>
          <w:smallCaps w:val="false"/>
          <w:sz w:val="20"/>
        </w:rPr>
        <w:t>“</w:t>
      </w:r>
      <w:r>
        <w:rPr>
          <w:rFonts w:ascii="Times New Roman" w:hAnsi="Times New Roman"/>
          <w:b/>
          <w:i/>
          <w:caps w:val="false"/>
          <w:smallCaps w:val="false"/>
          <w:sz w:val="20"/>
        </w:rPr>
        <w:t>Governmental Body</w:t>
      </w:r>
      <w:r>
        <w:rPr>
          <w:rFonts w:ascii="Times New Roman" w:hAnsi="Times New Roman"/>
          <w:caps w:val="false"/>
          <w:smallCaps w:val="false"/>
          <w:sz w:val="20"/>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(ff) </w:t>
      </w:r>
      <w:r>
        <w:rPr>
          <w:rFonts w:ascii="Times New Roman" w:hAnsi="Times New Roman"/>
          <w:caps w:val="false"/>
          <w:smallCaps w:val="false"/>
          <w:sz w:val="20"/>
        </w:rPr>
        <w:t>“</w:t>
      </w:r>
      <w:r>
        <w:rPr>
          <w:rFonts w:ascii="Times New Roman" w:hAnsi="Times New Roman"/>
          <w:b/>
          <w:i/>
          <w:caps w:val="false"/>
          <w:smallCaps w:val="false"/>
          <w:sz w:val="20"/>
        </w:rPr>
        <w:t>Grant Notice</w:t>
      </w:r>
      <w:r>
        <w:rPr>
          <w:rFonts w:ascii="Times New Roman" w:hAnsi="Times New Roman"/>
          <w:caps w:val="false"/>
          <w:smallCaps w:val="false"/>
          <w:sz w:val="20"/>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(gg)</w:t>
      </w:r>
      <w:r>
        <w:rPr>
          <w:rFonts w:ascii="Times New Roman" w:hAnsi="Times New Roman"/>
          <w:caps w:val="false"/>
          <w:smallCaps w:val="false"/>
          <w:sz w:val="20"/>
        </w:rPr>
        <w:t xml:space="preserve"> “</w:t>
      </w:r>
      <w:r>
        <w:rPr>
          <w:rFonts w:ascii="Times New Roman" w:hAnsi="Times New Roman"/>
          <w:b/>
          <w:i/>
          <w:caps w:val="false"/>
          <w:smallCaps w:val="false"/>
          <w:sz w:val="20"/>
        </w:rPr>
        <w:t>Incentive Stock Option</w:t>
      </w:r>
      <w:r>
        <w:rPr>
          <w:rFonts w:ascii="Times New Roman" w:hAnsi="Times New Roman"/>
          <w:caps w:val="false"/>
          <w:smallCaps w:val="false"/>
          <w:sz w:val="20"/>
        </w:rPr>
        <w:t>” means an option granted pursuant to Section 4 of the Plan that is intended to be, and qualifies as, an “incentive stock option” within the meaning of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(hh)</w:t>
      </w:r>
      <w:r>
        <w:rPr>
          <w:rFonts w:ascii="Times New Roman" w:hAnsi="Times New Roman"/>
          <w:caps w:val="false"/>
          <w:smallCaps w:val="false"/>
          <w:sz w:val="20"/>
        </w:rPr>
        <w:t>”</w:t>
      </w:r>
      <w:r>
        <w:rPr>
          <w:rFonts w:ascii="Times New Roman" w:hAnsi="Times New Roman"/>
          <w:b/>
          <w:i/>
          <w:caps w:val="false"/>
          <w:smallCaps w:val="false"/>
          <w:sz w:val="20"/>
        </w:rPr>
        <w:t>Materially Impair</w:t>
      </w:r>
      <w:r>
        <w:rPr>
          <w:rFonts w:ascii="Times New Roman" w:hAnsi="Times New Roman"/>
          <w:caps w:val="false"/>
          <w:smallCaps w:val="false"/>
          <w:sz w:val="20"/>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including any action taken pursuant to Section 7(b)(xiv); (iv) to clarify the manner of exemption from, or to bring the Award into compliance with or qualify it for an exemption from, Section 409A; or (v) to comply with other Applicable Laws.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xml:space="preserve"> “</w:t>
      </w:r>
      <w:r>
        <w:rPr>
          <w:rFonts w:ascii="Times New Roman" w:hAnsi="Times New Roman"/>
          <w:b/>
          <w:i/>
          <w:caps w:val="false"/>
          <w:smallCaps w:val="false"/>
          <w:sz w:val="20"/>
        </w:rPr>
        <w:t>Merger Agreement</w:t>
      </w:r>
      <w:r>
        <w:rPr>
          <w:rFonts w:ascii="Times New Roman" w:hAnsi="Times New Roman"/>
          <w:caps w:val="false"/>
          <w:smallCaps w:val="false"/>
          <w:sz w:val="20"/>
        </w:rPr>
        <w:t>” means that certain Agreement and Plan of Merger and Reorganization by and among 7GC&amp; Co. Holdings Inc., 7GC Merger Sub I, Inc., 7GC Merger Sub II, LLC and the Company, dated as of December 8,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(jj) </w:t>
      </w:r>
      <w:r>
        <w:rPr>
          <w:rFonts w:ascii="Times New Roman" w:hAnsi="Times New Roman"/>
          <w:caps w:val="false"/>
          <w:smallCaps w:val="false"/>
          <w:sz w:val="20"/>
        </w:rPr>
        <w:t>“</w:t>
      </w:r>
      <w:r>
        <w:rPr>
          <w:rFonts w:ascii="Times New Roman" w:hAnsi="Times New Roman"/>
          <w:b/>
          <w:i/>
          <w:caps w:val="false"/>
          <w:smallCaps w:val="false"/>
          <w:sz w:val="20"/>
        </w:rPr>
        <w:t>Non-Employee Director</w:t>
      </w:r>
      <w:r>
        <w:rPr>
          <w:rFonts w:ascii="Times New Roman" w:hAnsi="Times New Roman"/>
          <w:caps w:val="false"/>
          <w:smallCaps w:val="false"/>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caps w:val="false"/>
          <w:smallCaps w:val="false"/>
          <w:sz w:val="20"/>
        </w:rPr>
        <w:t>Regulation S-K</w:t>
      </w:r>
      <w:r>
        <w:rPr>
          <w:rFonts w:ascii="Times New Roman" w:hAnsi="Times New Roman"/>
          <w:caps w:val="false"/>
          <w:smallCaps w:val="false"/>
          <w:sz w:val="20"/>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(kk)</w:t>
      </w:r>
      <w:r>
        <w:rPr>
          <w:rFonts w:ascii="Times New Roman" w:hAnsi="Times New Roman"/>
          <w:caps w:val="false"/>
          <w:smallCaps w:val="false"/>
          <w:sz w:val="20"/>
        </w:rPr>
        <w:t>”</w:t>
      </w:r>
      <w:r>
        <w:rPr>
          <w:rFonts w:ascii="Times New Roman" w:hAnsi="Times New Roman"/>
          <w:b/>
          <w:i/>
          <w:caps w:val="false"/>
          <w:smallCaps w:val="false"/>
          <w:sz w:val="20"/>
        </w:rPr>
        <w:t>Nonstatutory Stock Option</w:t>
      </w:r>
      <w:r>
        <w:rPr>
          <w:rFonts w:ascii="Times New Roman" w:hAnsi="Times New Roman"/>
          <w:caps w:val="false"/>
          <w:smallCaps w:val="false"/>
          <w:sz w:val="20"/>
        </w:rPr>
        <w:t>” means any option granted pursuant to Section 4 of the Plan that is not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(ll) </w:t>
      </w:r>
      <w:r>
        <w:rPr>
          <w:rFonts w:ascii="Times New Roman" w:hAnsi="Times New Roman"/>
          <w:caps w:val="false"/>
          <w:smallCaps w:val="false"/>
          <w:sz w:val="20"/>
        </w:rPr>
        <w:t>“</w:t>
      </w:r>
      <w:r>
        <w:rPr>
          <w:rFonts w:ascii="Times New Roman" w:hAnsi="Times New Roman"/>
          <w:b/>
          <w:i/>
          <w:caps w:val="false"/>
          <w:smallCaps w:val="false"/>
          <w:sz w:val="20"/>
        </w:rPr>
        <w:t>Officer</w:t>
      </w:r>
      <w:r>
        <w:rPr>
          <w:rFonts w:ascii="Times New Roman" w:hAnsi="Times New Roman"/>
          <w:caps w:val="false"/>
          <w:smallCaps w:val="false"/>
          <w:sz w:val="20"/>
        </w:rPr>
        <w:t>” means a person who is an officer of the Company within the meaning of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(mm)</w:t>
      </w:r>
      <w:r>
        <w:rPr>
          <w:rFonts w:ascii="Times New Roman" w:hAnsi="Times New Roman"/>
          <w:caps w:val="false"/>
          <w:smallCaps w:val="false"/>
          <w:sz w:val="20"/>
        </w:rPr>
        <w:t xml:space="preserve"> “</w:t>
      </w:r>
      <w:r>
        <w:rPr>
          <w:rFonts w:ascii="Times New Roman" w:hAnsi="Times New Roman"/>
          <w:b/>
          <w:i/>
          <w:caps w:val="false"/>
          <w:smallCaps w:val="false"/>
          <w:sz w:val="20"/>
        </w:rPr>
        <w:t>Option</w:t>
      </w:r>
      <w:r>
        <w:rPr>
          <w:rFonts w:ascii="Times New Roman" w:hAnsi="Times New Roman"/>
          <w:caps w:val="false"/>
          <w:smallCaps w:val="false"/>
          <w:sz w:val="20"/>
        </w:rPr>
        <w:t>” means an Incentive Stock Option or a Nonstatutory Stock Option to purchase shares of Common Stock granted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(nn)</w:t>
      </w:r>
      <w:r>
        <w:rPr>
          <w:rFonts w:ascii="Times New Roman" w:hAnsi="Times New Roman"/>
          <w:caps w:val="false"/>
          <w:smallCaps w:val="false"/>
          <w:sz w:val="20"/>
        </w:rPr>
        <w:t>”</w:t>
      </w:r>
      <w:r>
        <w:rPr>
          <w:rFonts w:ascii="Times New Roman" w:hAnsi="Times New Roman"/>
          <w:b/>
          <w:i/>
          <w:caps w:val="false"/>
          <w:smallCaps w:val="false"/>
          <w:sz w:val="20"/>
        </w:rPr>
        <w:t>Option Agreement</w:t>
      </w:r>
      <w:r>
        <w:rPr>
          <w:rFonts w:ascii="Times New Roman" w:hAnsi="Times New Roman"/>
          <w:caps w:val="false"/>
          <w:smallCaps w:val="false"/>
          <w:sz w:val="20"/>
        </w:rPr>
        <w:t>” means a written or electronic agreement between the Company and the Option 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(oo)</w:t>
      </w:r>
      <w:r>
        <w:rPr>
          <w:rFonts w:ascii="Times New Roman" w:hAnsi="Times New Roman"/>
          <w:caps w:val="false"/>
          <w:smallCaps w:val="false"/>
          <w:sz w:val="20"/>
        </w:rPr>
        <w:t xml:space="preserve"> “</w:t>
      </w:r>
      <w:r>
        <w:rPr>
          <w:rFonts w:ascii="Times New Roman" w:hAnsi="Times New Roman"/>
          <w:b/>
          <w:i/>
          <w:caps w:val="false"/>
          <w:smallCaps w:val="false"/>
          <w:sz w:val="20"/>
        </w:rPr>
        <w:t>Option holder</w:t>
      </w:r>
      <w:r>
        <w:rPr>
          <w:rFonts w:ascii="Times New Roman" w:hAnsi="Times New Roman"/>
          <w:caps w:val="false"/>
          <w:smallCaps w:val="false"/>
          <w:sz w:val="20"/>
        </w:rPr>
        <w:t>” means a person to whom an Option is granted pursuant to the Plan or, if applicable, such other person who holds an outstanding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(pp)</w:t>
      </w:r>
      <w:r>
        <w:rPr>
          <w:rFonts w:ascii="Times New Roman" w:hAnsi="Times New Roman"/>
          <w:caps w:val="false"/>
          <w:smallCaps w:val="false"/>
          <w:sz w:val="20"/>
        </w:rPr>
        <w:t>”</w:t>
      </w:r>
      <w:r>
        <w:rPr>
          <w:rFonts w:ascii="Times New Roman" w:hAnsi="Times New Roman"/>
          <w:b/>
          <w:i/>
          <w:caps w:val="false"/>
          <w:smallCaps w:val="false"/>
          <w:sz w:val="20"/>
        </w:rPr>
        <w:t>Other Award</w:t>
      </w:r>
      <w:r>
        <w:rPr>
          <w:rFonts w:ascii="Times New Roman" w:hAnsi="Times New Roman"/>
          <w:caps w:val="false"/>
          <w:smallCaps w:val="false"/>
          <w:sz w:val="20"/>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(qq)</w:t>
      </w:r>
      <w:r>
        <w:rPr>
          <w:rFonts w:ascii="Times New Roman" w:hAnsi="Times New Roman"/>
          <w:caps w:val="false"/>
          <w:smallCaps w:val="false"/>
          <w:sz w:val="20"/>
        </w:rPr>
        <w:t>”</w:t>
      </w:r>
      <w:r>
        <w:rPr>
          <w:rFonts w:ascii="Times New Roman" w:hAnsi="Times New Roman"/>
          <w:b/>
          <w:i/>
          <w:caps w:val="false"/>
          <w:smallCaps w:val="false"/>
          <w:sz w:val="20"/>
        </w:rPr>
        <w:t>Other Award Agreement</w:t>
      </w:r>
      <w:r>
        <w:rPr>
          <w:rFonts w:ascii="Times New Roman" w:hAnsi="Times New Roman"/>
          <w:caps w:val="false"/>
          <w:smallCaps w:val="false"/>
          <w:sz w:val="20"/>
        </w:rPr>
        <w:t>” means a written or electronic agreement between the Company and a holder of an Other Award evidencing the terms and conditions of an Other Award grant. Each Other Award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(rr)</w:t>
      </w:r>
      <w:r>
        <w:rPr>
          <w:rFonts w:ascii="Times New Roman" w:hAnsi="Times New Roman"/>
          <w:caps w:val="false"/>
          <w:smallCaps w:val="false"/>
          <w:sz w:val="20"/>
        </w:rPr>
        <w:t xml:space="preserve"> “</w:t>
      </w:r>
      <w:r>
        <w:rPr>
          <w:rFonts w:ascii="Times New Roman" w:hAnsi="Times New Roman"/>
          <w:b/>
          <w:i/>
          <w:caps w:val="false"/>
          <w:smallCaps w:val="false"/>
          <w:sz w:val="20"/>
        </w:rPr>
        <w:t>Own,</w:t>
      </w:r>
      <w:r>
        <w:rPr>
          <w:rFonts w:ascii="Times New Roman" w:hAnsi="Times New Roman"/>
          <w:caps w:val="false"/>
          <w:smallCaps w:val="false"/>
          <w:sz w:val="20"/>
        </w:rPr>
        <w:t>” “</w:t>
      </w:r>
      <w:r>
        <w:rPr>
          <w:rFonts w:ascii="Times New Roman" w:hAnsi="Times New Roman"/>
          <w:b/>
          <w:i/>
          <w:caps w:val="false"/>
          <w:smallCaps w:val="false"/>
          <w:sz w:val="20"/>
        </w:rPr>
        <w:t>Owned,</w:t>
      </w:r>
      <w:r>
        <w:rPr>
          <w:rFonts w:ascii="Times New Roman" w:hAnsi="Times New Roman"/>
          <w:caps w:val="false"/>
          <w:smallCaps w:val="false"/>
          <w:sz w:val="20"/>
        </w:rPr>
        <w:t>” “</w:t>
      </w:r>
      <w:r>
        <w:rPr>
          <w:rFonts w:ascii="Times New Roman" w:hAnsi="Times New Roman"/>
          <w:b/>
          <w:i/>
          <w:caps w:val="false"/>
          <w:smallCaps w:val="false"/>
          <w:sz w:val="20"/>
        </w:rPr>
        <w:t>Owner,</w:t>
      </w:r>
      <w:r>
        <w:rPr>
          <w:rFonts w:ascii="Times New Roman" w:hAnsi="Times New Roman"/>
          <w:caps w:val="false"/>
          <w:smallCaps w:val="false"/>
          <w:sz w:val="20"/>
        </w:rPr>
        <w:t>” “</w:t>
      </w:r>
      <w:r>
        <w:rPr>
          <w:rFonts w:ascii="Times New Roman" w:hAnsi="Times New Roman"/>
          <w:b/>
          <w:i/>
          <w:caps w:val="false"/>
          <w:smallCaps w:val="false"/>
          <w:sz w:val="20"/>
        </w:rPr>
        <w:t>Ownership</w:t>
      </w:r>
      <w:r>
        <w:rPr>
          <w:rFonts w:ascii="Times New Roman" w:hAnsi="Times New Roman"/>
          <w:caps w:val="false"/>
          <w:smallCaps w:val="false"/>
          <w:sz w:val="20"/>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(ss) </w:t>
      </w:r>
      <w:r>
        <w:rPr>
          <w:rFonts w:ascii="Times New Roman" w:hAnsi="Times New Roman"/>
          <w:caps w:val="false"/>
          <w:smallCaps w:val="false"/>
          <w:sz w:val="20"/>
        </w:rPr>
        <w:t>“</w:t>
      </w:r>
      <w:r>
        <w:rPr>
          <w:rFonts w:ascii="Times New Roman" w:hAnsi="Times New Roman"/>
          <w:b/>
          <w:i/>
          <w:caps w:val="false"/>
          <w:smallCaps w:val="false"/>
          <w:sz w:val="20"/>
        </w:rPr>
        <w:t>Participant</w:t>
      </w:r>
      <w:r>
        <w:rPr>
          <w:rFonts w:ascii="Times New Roman" w:hAnsi="Times New Roman"/>
          <w:caps w:val="false"/>
          <w:smallCaps w:val="false"/>
          <w:sz w:val="20"/>
        </w:rPr>
        <w:t>” means an Employee, Director or Consultant to whom an Award is granted pursuant to the Plan or, if applicable, such other person who holds an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(tt) </w:t>
      </w:r>
      <w:r>
        <w:rPr>
          <w:rFonts w:ascii="Times New Roman" w:hAnsi="Times New Roman"/>
          <w:caps w:val="false"/>
          <w:smallCaps w:val="false"/>
          <w:sz w:val="20"/>
        </w:rPr>
        <w:t>“</w:t>
      </w:r>
      <w:r>
        <w:rPr>
          <w:rFonts w:ascii="Times New Roman" w:hAnsi="Times New Roman"/>
          <w:b/>
          <w:i/>
          <w:caps w:val="false"/>
          <w:smallCaps w:val="false"/>
          <w:sz w:val="20"/>
        </w:rPr>
        <w:t>Performance Award</w:t>
      </w:r>
      <w:r>
        <w:rPr>
          <w:rFonts w:ascii="Times New Roman" w:hAnsi="Times New Roman"/>
          <w:caps w:val="false"/>
          <w:smallCaps w:val="false"/>
          <w:sz w:val="20"/>
        </w:rPr>
        <w:t>” means an Award that may vest or may be exercised or a cash award that may vest or become earned and paid contingent upon the attainment during a Performance Period of certain Performance Goals and which is granted under the terms and conditions of Section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(uu)</w:t>
      </w:r>
      <w:r>
        <w:rPr>
          <w:rFonts w:ascii="Times New Roman" w:hAnsi="Times New Roman"/>
          <w:caps w:val="false"/>
          <w:smallCaps w:val="false"/>
          <w:sz w:val="20"/>
        </w:rPr>
        <w:t>”</w:t>
      </w:r>
      <w:r>
        <w:rPr>
          <w:rFonts w:ascii="Times New Roman" w:hAnsi="Times New Roman"/>
          <w:b/>
          <w:i/>
          <w:caps w:val="false"/>
          <w:smallCaps w:val="false"/>
          <w:sz w:val="20"/>
        </w:rPr>
        <w:t>Performance Criteria</w:t>
      </w:r>
      <w:r>
        <w:rPr>
          <w:rFonts w:ascii="Times New Roman" w:hAnsi="Times New Roman"/>
          <w:caps w:val="false"/>
          <w:smallCaps w:val="false"/>
          <w:sz w:val="20"/>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(vv) </w:t>
      </w:r>
      <w:r>
        <w:rPr>
          <w:rFonts w:ascii="Times New Roman" w:hAnsi="Times New Roman"/>
          <w:caps w:val="false"/>
          <w:smallCaps w:val="false"/>
          <w:sz w:val="20"/>
        </w:rPr>
        <w:t>“</w:t>
      </w:r>
      <w:r>
        <w:rPr>
          <w:rFonts w:ascii="Times New Roman" w:hAnsi="Times New Roman"/>
          <w:b/>
          <w:i/>
          <w:caps w:val="false"/>
          <w:smallCaps w:val="false"/>
          <w:sz w:val="20"/>
        </w:rPr>
        <w:t>Performance Goals</w:t>
      </w:r>
      <w:r>
        <w:rPr>
          <w:rFonts w:ascii="Times New Roman" w:hAnsi="Times New Roman"/>
          <w:caps w:val="false"/>
          <w:smallCaps w:val="false"/>
          <w:sz w:val="20"/>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(ww) </w:t>
      </w:r>
      <w:r>
        <w:rPr>
          <w:rFonts w:ascii="Times New Roman" w:hAnsi="Times New Roman"/>
          <w:caps w:val="false"/>
          <w:smallCaps w:val="false"/>
          <w:sz w:val="20"/>
        </w:rPr>
        <w:t>“</w:t>
      </w:r>
      <w:r>
        <w:rPr>
          <w:rFonts w:ascii="Times New Roman" w:hAnsi="Times New Roman"/>
          <w:b/>
          <w:i/>
          <w:caps w:val="false"/>
          <w:smallCaps w:val="false"/>
          <w:sz w:val="20"/>
        </w:rPr>
        <w:t>Performance Period</w:t>
      </w:r>
      <w:r>
        <w:rPr>
          <w:rFonts w:ascii="Times New Roman" w:hAnsi="Times New Roman"/>
          <w:caps w:val="false"/>
          <w:smallCaps w:val="false"/>
          <w:sz w:val="20"/>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(xx)</w:t>
      </w:r>
      <w:r>
        <w:rPr>
          <w:rFonts w:ascii="Times New Roman" w:hAnsi="Times New Roman"/>
          <w:caps w:val="false"/>
          <w:smallCaps w:val="false"/>
          <w:sz w:val="20"/>
        </w:rPr>
        <w:t xml:space="preserve"> “</w:t>
      </w:r>
      <w:r>
        <w:rPr>
          <w:rFonts w:ascii="Times New Roman" w:hAnsi="Times New Roman"/>
          <w:b/>
          <w:i/>
          <w:caps w:val="false"/>
          <w:smallCaps w:val="false"/>
          <w:sz w:val="20"/>
        </w:rPr>
        <w:t>Plan</w:t>
      </w:r>
      <w:r>
        <w:rPr>
          <w:rFonts w:ascii="Times New Roman" w:hAnsi="Times New Roman"/>
          <w:caps w:val="false"/>
          <w:smallCaps w:val="false"/>
          <w:sz w:val="20"/>
        </w:rPr>
        <w:t>” means this Banzai International, Inc. 2023 Equity Incentive Plan,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(yy) </w:t>
      </w:r>
      <w:r>
        <w:rPr>
          <w:rFonts w:ascii="Times New Roman" w:hAnsi="Times New Roman"/>
          <w:caps w:val="false"/>
          <w:smallCaps w:val="false"/>
          <w:sz w:val="20"/>
        </w:rPr>
        <w:t>“</w:t>
      </w:r>
      <w:r>
        <w:rPr>
          <w:rFonts w:ascii="Times New Roman" w:hAnsi="Times New Roman"/>
          <w:b/>
          <w:i/>
          <w:caps w:val="false"/>
          <w:smallCaps w:val="false"/>
          <w:sz w:val="20"/>
        </w:rPr>
        <w:t>Plan Administrator</w:t>
      </w:r>
      <w:r>
        <w:rPr>
          <w:rFonts w:ascii="Times New Roman" w:hAnsi="Times New Roman"/>
          <w:caps w:val="false"/>
          <w:smallCaps w:val="false"/>
          <w:sz w:val="20"/>
        </w:rPr>
        <w:t>” means the person, persons, and/or third-party administrator designated by the Company to administer the day-to-day operations of the Plan and the Company’s other equity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(zz)</w:t>
      </w:r>
      <w:r>
        <w:rPr>
          <w:rFonts w:ascii="Times New Roman" w:hAnsi="Times New Roman"/>
          <w:caps w:val="false"/>
          <w:smallCaps w:val="false"/>
          <w:sz w:val="20"/>
        </w:rPr>
        <w:t xml:space="preserve"> “</w:t>
      </w:r>
      <w:r>
        <w:rPr>
          <w:rFonts w:ascii="Times New Roman" w:hAnsi="Times New Roman"/>
          <w:b/>
          <w:i/>
          <w:caps w:val="false"/>
          <w:smallCaps w:val="false"/>
          <w:sz w:val="20"/>
        </w:rPr>
        <w:t>Post-Termination Exercise Period</w:t>
      </w:r>
      <w:r>
        <w:rPr>
          <w:rFonts w:ascii="Times New Roman" w:hAnsi="Times New Roman"/>
          <w:caps w:val="false"/>
          <w:smallCaps w:val="false"/>
          <w:sz w:val="20"/>
        </w:rPr>
        <w:t>” means the period following termination of a Participant’s Continuous Service within which an Option or SAR is exercisable, as specified in Section 4(h).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(aaa) </w:t>
      </w:r>
      <w:r>
        <w:rPr>
          <w:rFonts w:ascii="Times New Roman" w:hAnsi="Times New Roman"/>
          <w:caps w:val="false"/>
          <w:smallCaps w:val="false"/>
          <w:sz w:val="20"/>
        </w:rPr>
        <w:t>“</w:t>
      </w:r>
      <w:r>
        <w:rPr>
          <w:rFonts w:ascii="Times New Roman" w:hAnsi="Times New Roman"/>
          <w:b/>
          <w:i/>
          <w:caps w:val="false"/>
          <w:smallCaps w:val="false"/>
          <w:sz w:val="20"/>
        </w:rPr>
        <w:t>Restricted Stock Award</w:t>
      </w:r>
      <w:r>
        <w:rPr>
          <w:rFonts w:ascii="Times New Roman" w:hAnsi="Times New Roman"/>
          <w:caps w:val="false"/>
          <w:smallCaps w:val="false"/>
          <w:sz w:val="20"/>
        </w:rPr>
        <w:t>” or “</w:t>
      </w:r>
      <w:r>
        <w:rPr>
          <w:rFonts w:ascii="Times New Roman" w:hAnsi="Times New Roman"/>
          <w:b/>
          <w:i/>
          <w:caps w:val="false"/>
          <w:smallCaps w:val="false"/>
          <w:sz w:val="20"/>
        </w:rPr>
        <w:t>RSA</w:t>
      </w:r>
      <w:r>
        <w:rPr>
          <w:rFonts w:ascii="Times New Roman" w:hAnsi="Times New Roman"/>
          <w:caps w:val="false"/>
          <w:smallCaps w:val="false"/>
          <w:sz w:val="20"/>
        </w:rPr>
        <w:t>” means an Award of shares of Common Stock which is granted pursuant to the terms and conditions of Section 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(bbb) </w:t>
      </w:r>
      <w:r>
        <w:rPr>
          <w:rFonts w:ascii="Times New Roman" w:hAnsi="Times New Roman"/>
          <w:caps w:val="false"/>
          <w:smallCaps w:val="false"/>
          <w:sz w:val="20"/>
        </w:rPr>
        <w:t>“</w:t>
      </w:r>
      <w:r>
        <w:rPr>
          <w:rFonts w:ascii="Times New Roman" w:hAnsi="Times New Roman"/>
          <w:b/>
          <w:i/>
          <w:caps w:val="false"/>
          <w:smallCaps w:val="false"/>
          <w:sz w:val="20"/>
        </w:rPr>
        <w:t>Restricted Stock Award Agreement</w:t>
      </w:r>
      <w:r>
        <w:rPr>
          <w:rFonts w:ascii="Times New Roman" w:hAnsi="Times New Roman"/>
          <w:caps w:val="false"/>
          <w:smallCaps w:val="false"/>
          <w:sz w:val="20"/>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(ccc) </w:t>
      </w:r>
      <w:r>
        <w:rPr>
          <w:rFonts w:ascii="Times New Roman" w:hAnsi="Times New Roman"/>
          <w:caps w:val="false"/>
          <w:smallCaps w:val="false"/>
          <w:sz w:val="20"/>
        </w:rPr>
        <w:t>“</w:t>
      </w:r>
      <w:r>
        <w:rPr>
          <w:rFonts w:ascii="Times New Roman" w:hAnsi="Times New Roman"/>
          <w:b/>
          <w:i/>
          <w:caps w:val="false"/>
          <w:smallCaps w:val="false"/>
          <w:sz w:val="20"/>
        </w:rPr>
        <w:t>RSU Award</w:t>
      </w:r>
      <w:r>
        <w:rPr>
          <w:rFonts w:ascii="Times New Roman" w:hAnsi="Times New Roman"/>
          <w:caps w:val="false"/>
          <w:smallCaps w:val="false"/>
          <w:sz w:val="20"/>
        </w:rPr>
        <w:t>” or “</w:t>
      </w:r>
      <w:r>
        <w:rPr>
          <w:rFonts w:ascii="Times New Roman" w:hAnsi="Times New Roman"/>
          <w:b/>
          <w:i/>
          <w:caps w:val="false"/>
          <w:smallCaps w:val="false"/>
          <w:sz w:val="20"/>
        </w:rPr>
        <w:t>RSU</w:t>
      </w:r>
      <w:r>
        <w:rPr>
          <w:rFonts w:ascii="Times New Roman" w:hAnsi="Times New Roman"/>
          <w:caps w:val="false"/>
          <w:smallCaps w:val="false"/>
          <w:sz w:val="20"/>
        </w:rPr>
        <w:t>” means an Award of restricted stock units representing the right to receive an issuance of shares of Common Stock which is granted pursuant to the terms and conditions of Section 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(ddd) </w:t>
      </w:r>
      <w:r>
        <w:rPr>
          <w:rFonts w:ascii="Times New Roman" w:hAnsi="Times New Roman"/>
          <w:caps w:val="false"/>
          <w:smallCaps w:val="false"/>
          <w:sz w:val="20"/>
        </w:rPr>
        <w:t>“</w:t>
      </w:r>
      <w:r>
        <w:rPr>
          <w:rFonts w:ascii="Times New Roman" w:hAnsi="Times New Roman"/>
          <w:b/>
          <w:i/>
          <w:caps w:val="false"/>
          <w:smallCaps w:val="false"/>
          <w:sz w:val="20"/>
        </w:rPr>
        <w:t>RSU Award Agreement</w:t>
      </w:r>
      <w:r>
        <w:rPr>
          <w:rFonts w:ascii="Times New Roman" w:hAnsi="Times New Roman"/>
          <w:caps w:val="false"/>
          <w:smallCaps w:val="false"/>
          <w:sz w:val="20"/>
        </w:rPr>
        <w:t>” means a written or electronic agreement between the Company and a holder of an RSU Award evidencing the terms and conditions of an RSU Award.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(eee)</w:t>
      </w:r>
      <w:r>
        <w:rPr>
          <w:rFonts w:ascii="Times New Roman" w:hAnsi="Times New Roman"/>
          <w:caps w:val="false"/>
          <w:smallCaps w:val="false"/>
          <w:sz w:val="20"/>
        </w:rPr>
        <w:t xml:space="preserve"> “</w:t>
      </w:r>
      <w:r>
        <w:rPr>
          <w:rFonts w:ascii="Times New Roman" w:hAnsi="Times New Roman"/>
          <w:b/>
          <w:i/>
          <w:caps w:val="false"/>
          <w:smallCaps w:val="false"/>
          <w:sz w:val="20"/>
        </w:rPr>
        <w:t>Rule 16b-3</w:t>
      </w:r>
      <w:r>
        <w:rPr>
          <w:rFonts w:ascii="Times New Roman" w:hAnsi="Times New Roman"/>
          <w:caps w:val="false"/>
          <w:smallCaps w:val="false"/>
          <w:sz w:val="20"/>
        </w:rPr>
        <w:t>” means Rule 16b-3 promulgated under the Exchange Act or any successor to Rule 16b-3,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(fff)</w:t>
      </w:r>
      <w:r>
        <w:rPr>
          <w:rFonts w:ascii="Times New Roman" w:hAnsi="Times New Roman"/>
          <w:caps w:val="false"/>
          <w:smallCaps w:val="false"/>
          <w:sz w:val="20"/>
        </w:rPr>
        <w:t xml:space="preserve"> “</w:t>
      </w:r>
      <w:r>
        <w:rPr>
          <w:rFonts w:ascii="Times New Roman" w:hAnsi="Times New Roman"/>
          <w:b/>
          <w:i/>
          <w:caps w:val="false"/>
          <w:smallCaps w:val="false"/>
          <w:sz w:val="20"/>
        </w:rPr>
        <w:t>Rule 405</w:t>
      </w:r>
      <w:r>
        <w:rPr>
          <w:rFonts w:ascii="Times New Roman" w:hAnsi="Times New Roman"/>
          <w:caps w:val="false"/>
          <w:smallCaps w:val="false"/>
          <w:sz w:val="20"/>
        </w:rPr>
        <w:t>” means Rule 405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(ggg)</w:t>
      </w:r>
      <w:r>
        <w:rPr>
          <w:rFonts w:ascii="Times New Roman" w:hAnsi="Times New Roman"/>
          <w:caps w:val="false"/>
          <w:smallCaps w:val="false"/>
          <w:sz w:val="20"/>
        </w:rPr>
        <w:t xml:space="preserve"> “</w:t>
      </w:r>
      <w:r>
        <w:rPr>
          <w:rFonts w:ascii="Times New Roman" w:hAnsi="Times New Roman"/>
          <w:b/>
          <w:i/>
          <w:caps w:val="false"/>
          <w:smallCaps w:val="false"/>
          <w:sz w:val="20"/>
        </w:rPr>
        <w:t>Section 409A</w:t>
      </w:r>
      <w:r>
        <w:rPr>
          <w:rFonts w:ascii="Times New Roman" w:hAnsi="Times New Roman"/>
          <w:caps w:val="false"/>
          <w:smallCaps w:val="false"/>
          <w:sz w:val="20"/>
        </w:rPr>
        <w:t>” means Section 409A of the Code and the regulations and other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(hhh)</w:t>
      </w:r>
      <w:r>
        <w:rPr>
          <w:rFonts w:ascii="Times New Roman" w:hAnsi="Times New Roman"/>
          <w:caps w:val="false"/>
          <w:smallCaps w:val="false"/>
          <w:sz w:val="20"/>
        </w:rPr>
        <w:t xml:space="preserve"> “</w:t>
      </w:r>
      <w:r>
        <w:rPr>
          <w:rFonts w:ascii="Times New Roman" w:hAnsi="Times New Roman"/>
          <w:b/>
          <w:i/>
          <w:caps w:val="false"/>
          <w:smallCaps w:val="false"/>
          <w:sz w:val="20"/>
        </w:rPr>
        <w:t>Section 409A Change in Control</w:t>
      </w:r>
      <w:r>
        <w:rPr>
          <w:rFonts w:ascii="Times New Roman" w:hAnsi="Times New Roman"/>
          <w:caps w:val="false"/>
          <w:smallCaps w:val="false"/>
          <w:sz w:val="20"/>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xml:space="preserve"> “</w:t>
      </w:r>
      <w:r>
        <w:rPr>
          <w:rFonts w:ascii="Times New Roman" w:hAnsi="Times New Roman"/>
          <w:b/>
          <w:i/>
          <w:caps w:val="false"/>
          <w:smallCaps w:val="false"/>
          <w:sz w:val="20"/>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(jjj)</w:t>
      </w:r>
      <w:r>
        <w:rPr>
          <w:rFonts w:ascii="Times New Roman" w:hAnsi="Times New Roman"/>
          <w:caps w:val="false"/>
          <w:smallCaps w:val="false"/>
          <w:sz w:val="20"/>
        </w:rPr>
        <w:t xml:space="preserve"> “</w:t>
      </w:r>
      <w:r>
        <w:rPr>
          <w:rFonts w:ascii="Times New Roman" w:hAnsi="Times New Roman"/>
          <w:b/>
          <w:i/>
          <w:caps w:val="false"/>
          <w:smallCaps w:val="false"/>
          <w:sz w:val="20"/>
        </w:rPr>
        <w:t>Share Reserve</w:t>
      </w:r>
      <w:r>
        <w:rPr>
          <w:rFonts w:ascii="Times New Roman" w:hAnsi="Times New Roman"/>
          <w:caps w:val="false"/>
          <w:smallCaps w:val="false"/>
          <w:sz w:val="20"/>
        </w:rPr>
        <w:t>” means the number of shares available for issuance under the Plan as set forth in Section 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(kkk) </w:t>
      </w:r>
      <w:r>
        <w:rPr>
          <w:rFonts w:ascii="Times New Roman" w:hAnsi="Times New Roman"/>
          <w:caps w:val="false"/>
          <w:smallCaps w:val="false"/>
          <w:sz w:val="20"/>
        </w:rPr>
        <w:t>“</w:t>
      </w:r>
      <w:r>
        <w:rPr>
          <w:rFonts w:ascii="Times New Roman" w:hAnsi="Times New Roman"/>
          <w:b/>
          <w:i/>
          <w:caps w:val="false"/>
          <w:smallCaps w:val="false"/>
          <w:sz w:val="20"/>
        </w:rPr>
        <w:t>Stock Appreciation Right</w:t>
      </w:r>
      <w:r>
        <w:rPr>
          <w:rFonts w:ascii="Times New Roman" w:hAnsi="Times New Roman"/>
          <w:caps w:val="false"/>
          <w:smallCaps w:val="false"/>
          <w:sz w:val="20"/>
        </w:rPr>
        <w:t>” or “</w:t>
      </w:r>
      <w:r>
        <w:rPr>
          <w:rFonts w:ascii="Times New Roman" w:hAnsi="Times New Roman"/>
          <w:b/>
          <w:i/>
          <w:caps w:val="false"/>
          <w:smallCaps w:val="false"/>
          <w:sz w:val="20"/>
        </w:rPr>
        <w:t>SAR</w:t>
      </w:r>
      <w:r>
        <w:rPr>
          <w:rFonts w:ascii="Times New Roman" w:hAnsi="Times New Roman"/>
          <w:caps w:val="false"/>
          <w:smallCaps w:val="false"/>
          <w:sz w:val="20"/>
        </w:rPr>
        <w:t>” means a right to receive the appreciation on Common Stock that is granted pursuant to the terms and conditions of Section 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(lll) </w:t>
      </w:r>
      <w:r>
        <w:rPr>
          <w:rFonts w:ascii="Times New Roman" w:hAnsi="Times New Roman"/>
          <w:caps w:val="false"/>
          <w:smallCaps w:val="false"/>
          <w:sz w:val="20"/>
        </w:rPr>
        <w:t>“</w:t>
      </w:r>
      <w:r>
        <w:rPr>
          <w:rFonts w:ascii="Times New Roman" w:hAnsi="Times New Roman"/>
          <w:b/>
          <w:i/>
          <w:caps w:val="false"/>
          <w:smallCaps w:val="false"/>
          <w:sz w:val="20"/>
        </w:rPr>
        <w:t>SAR Agreement</w:t>
      </w:r>
      <w:r>
        <w:rPr>
          <w:rFonts w:ascii="Times New Roman" w:hAnsi="Times New Roman"/>
          <w:caps w:val="false"/>
          <w:smallCaps w:val="false"/>
          <w:sz w:val="20"/>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(mmm) </w:t>
      </w:r>
      <w:r>
        <w:rPr>
          <w:rFonts w:ascii="Times New Roman" w:hAnsi="Times New Roman"/>
          <w:caps w:val="false"/>
          <w:smallCaps w:val="false"/>
          <w:sz w:val="20"/>
        </w:rPr>
        <w:t>“</w:t>
      </w:r>
      <w:r>
        <w:rPr>
          <w:rFonts w:ascii="Times New Roman" w:hAnsi="Times New Roman"/>
          <w:b/>
          <w:i/>
          <w:caps w:val="false"/>
          <w:smallCaps w:val="false"/>
          <w:sz w:val="20"/>
        </w:rPr>
        <w:t>Subsidiary</w:t>
      </w:r>
      <w:r>
        <w:rPr>
          <w:rFonts w:ascii="Times New Roman" w:hAnsi="Times New Roman"/>
          <w:caps w:val="false"/>
          <w:smallCaps w:val="false"/>
          <w:sz w:val="20"/>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(nnn)</w:t>
      </w:r>
      <w:r>
        <w:rPr>
          <w:rFonts w:ascii="Times New Roman" w:hAnsi="Times New Roman"/>
          <w:caps w:val="false"/>
          <w:smallCaps w:val="false"/>
          <w:sz w:val="20"/>
        </w:rPr>
        <w:t xml:space="preserve"> “</w:t>
      </w:r>
      <w:r>
        <w:rPr>
          <w:rFonts w:ascii="Times New Roman" w:hAnsi="Times New Roman"/>
          <w:b/>
          <w:i/>
          <w:caps w:val="false"/>
          <w:smallCaps w:val="false"/>
          <w:sz w:val="20"/>
        </w:rPr>
        <w:t>Ten Percent Stockholder</w:t>
      </w:r>
      <w:r>
        <w:rPr>
          <w:rFonts w:ascii="Times New Roman" w:hAnsi="Times New Roman"/>
          <w:caps w:val="false"/>
          <w:smallCaps w:val="false"/>
          <w:sz w:val="20"/>
        </w:rPr>
        <w:t>” means a person who Owns (or is deemed to Own pursuant to Section 424(d) of the Code) stock possessing more than 10% of the total combined voting power of all classes of stock of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(ooo)</w:t>
      </w:r>
      <w:r>
        <w:rPr>
          <w:rFonts w:ascii="Times New Roman" w:hAnsi="Times New Roman"/>
          <w:caps w:val="false"/>
          <w:smallCaps w:val="false"/>
          <w:sz w:val="20"/>
        </w:rPr>
        <w:t xml:space="preserve"> “</w:t>
      </w:r>
      <w:r>
        <w:rPr>
          <w:rFonts w:ascii="Times New Roman" w:hAnsi="Times New Roman"/>
          <w:b/>
          <w:i/>
          <w:caps w:val="false"/>
          <w:smallCaps w:val="false"/>
          <w:sz w:val="20"/>
        </w:rPr>
        <w:t>Trading Policy</w:t>
      </w:r>
      <w:r>
        <w:rPr>
          <w:rFonts w:ascii="Times New Roman" w:hAnsi="Times New Roman"/>
          <w:caps w:val="false"/>
          <w:smallCaps w:val="false"/>
          <w:sz w:val="20"/>
        </w:rPr>
        <w:t>” means the Company’s policy permitting certain individuals to sell Company shares only during certain “window” periods and/or otherwise restricts the ability of certain individuals to transfer or encumber Company shares,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8" w:name="ex_1028783.htm"/>
      <w:bookmarkStart w:id="9" w:name="ksex_1028783"/>
      <w:bookmarkEnd w:id="8"/>
      <w:bookmarkEnd w:id="9"/>
      <w:r>
        <w:rPr>
          <w:rFonts w:ascii="Times New Roman;Times;serif" w:hAnsi="Times New Roman;Times;serif"/>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drawing>
          <wp:inline distT="0" distB="0" distL="0" distR="0">
            <wp:extent cx="16287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495300"/>
                    </a:xfrm>
                    <a:prstGeom prst="rect">
                      <a:avLst/>
                    </a:prstGeom>
                  </pic:spPr>
                </pic:pic>
              </a:graphicData>
            </a:graphic>
          </wp:inline>
        </w:drawing>
      </w:r>
      <w:r>
        <w:rPr>
          <w:caps w:val="false"/>
          <w:smallCaps w:val="false"/>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Arial" w:hAnsi="Arial"/>
          <w:caps w:val="false"/>
          <w:smallCaps w:val="false"/>
          <w:sz w:val="32"/>
        </w:rPr>
      </w:pPr>
      <w:r>
        <w:rPr>
          <w:rFonts w:ascii="Arial" w:hAnsi="Arial"/>
          <w:b/>
          <w:caps w:val="false"/>
          <w:smallCaps w:val="false"/>
          <w:sz w:val="32"/>
        </w:rPr>
        <w:t>Banzai Announces Name Change to Parabolic Technologies, Inc. </w:t>
      </w:r>
      <w:r>
        <w:rPr>
          <w:rFonts w:ascii="Arial" w:hAnsi="Arial"/>
          <w:caps w:val="false"/>
          <w:smallCaps w:val="false"/>
          <w:sz w:val="32"/>
        </w:rPr>
        <w:t xml:space="preserve"> </w:t>
      </w:r>
    </w:p>
    <w:p>
      <w:pPr>
        <w:pStyle w:val="TextBody"/>
        <w:bidi w:val="0"/>
        <w:ind w:left="0" w:right="0" w:hanging="0"/>
        <w:jc w:val="center"/>
        <w:rPr>
          <w:rFonts w:ascii="Arial" w:hAnsi="Arial"/>
          <w:caps w:val="false"/>
          <w:smallCaps w:val="false"/>
          <w:sz w:val="32"/>
        </w:rPr>
      </w:pPr>
      <w:r>
        <w:rPr>
          <w:rFonts w:ascii="Arial" w:hAnsi="Arial"/>
          <w:b/>
          <w:caps w:val="false"/>
          <w:smallCaps w:val="false"/>
          <w:sz w:val="32"/>
        </w:rPr>
        <w:t>And Announces Reverse Stock Split</w:t>
      </w:r>
      <w:r>
        <w:rPr>
          <w:rFonts w:ascii="Arial" w:hAnsi="Arial"/>
          <w:caps w:val="false"/>
          <w:smallCaps w:val="false"/>
          <w:sz w:val="32"/>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Arial" w:hAnsi="Arial"/>
          <w:caps w:val="false"/>
          <w:smallCaps w:val="false"/>
          <w:sz w:val="22"/>
        </w:rPr>
      </w:pPr>
      <w:r>
        <w:rPr>
          <w:rFonts w:ascii="Arial" w:hAnsi="Arial"/>
          <w:b/>
          <w:caps w:val="false"/>
          <w:smallCaps w:val="false"/>
          <w:sz w:val="22"/>
        </w:rPr>
        <w:t xml:space="preserve">SEATTLE, WA </w:t>
      </w:r>
      <w:r>
        <w:rPr>
          <w:rFonts w:ascii="Arial" w:hAnsi="Arial"/>
          <w:caps w:val="false"/>
          <w:smallCaps w:val="false"/>
          <w:sz w:val="22"/>
        </w:rPr>
        <w:t xml:space="preserve">– </w:t>
      </w:r>
      <w:r>
        <w:rPr>
          <w:rFonts w:ascii="Arial" w:hAnsi="Arial"/>
          <w:b/>
          <w:caps w:val="false"/>
          <w:smallCaps w:val="false"/>
          <w:sz w:val="22"/>
        </w:rPr>
        <w:t>October 22, 2026</w:t>
      </w:r>
      <w:r>
        <w:rPr>
          <w:rFonts w:ascii="Arial" w:hAnsi="Arial"/>
          <w:caps w:val="false"/>
          <w:smallCaps w:val="false"/>
          <w:sz w:val="22"/>
        </w:rPr>
        <w:t xml:space="preserve"> -- Banzai International, Inc. (NASDAQ: PARA) (d/b/a “Parabolic” or the “Company”), a leading AI-powered agentic applications technology company, today announced that effective at market open on October 27, 2026, the Company’s corporate name will officially change to “Parabolic Technologies, Inc.” The Company will also effect a one-for-ten (1-for-10) reverse stock split of its outstanding Class A Common Stock and Class B Common Stock (together, the “Common Stock”).</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Arial" w:hAnsi="Arial"/>
          <w:caps w:val="false"/>
          <w:smallCaps w:val="false"/>
          <w:sz w:val="22"/>
        </w:rPr>
      </w:pPr>
      <w:r>
        <w:rPr>
          <w:rFonts w:ascii="Arial" w:hAnsi="Arial"/>
          <w:caps w:val="false"/>
          <w:smallCaps w:val="false"/>
          <w:sz w:val="22"/>
        </w:rPr>
        <w:t>Shareholders approved both the corporate name change and reverse stock split at a special meeting of shareholders that was held on October 16, 2026.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Arial" w:hAnsi="Arial"/>
          <w:caps w:val="false"/>
          <w:smallCaps w:val="false"/>
          <w:sz w:val="22"/>
        </w:rPr>
      </w:pPr>
      <w:r>
        <w:rPr>
          <w:rFonts w:ascii="Arial" w:hAnsi="Arial"/>
          <w:caps w:val="false"/>
          <w:smallCaps w:val="false"/>
          <w:sz w:val="22"/>
        </w:rPr>
        <w:t>The reverse stock split is primarily intended to increase the per share price of the Company’s Class A Common Stock and maintain compliance with the Nasdaq Minimum Bid Price Requirement, although neither outcome is guaranteed. The Company's Class A Common Stock will continue to trade under the symbol "PARA". Upon the effectiveness of the reverse stock split, every ten shares of issued and outstanding Common Stock before the open of business on October 27, 2026, will be combined into one issued and outstanding share of common stock, with no change in par value per share. The Company's Class A Common Stock will open for trading on Nasdaq on October 27, 2026, on a post-split basis but will trade under a new CUSIP Number, 06682J803.</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Arial" w:hAnsi="Arial"/>
          <w:caps w:val="false"/>
          <w:smallCaps w:val="false"/>
          <w:sz w:val="22"/>
        </w:rPr>
      </w:pPr>
      <w:r>
        <w:rPr>
          <w:rFonts w:ascii="Arial" w:hAnsi="Arial"/>
          <w:caps w:val="false"/>
          <w:smallCaps w:val="false"/>
          <w:sz w:val="22"/>
        </w:rPr>
        <w:t>As of October 21, 2026, there were 5,061,208 shares of Class A Common Stock and 149,821 shares of Class B Common Stock outstanding. The number of issued and outstanding shares of Common Stock after the reverse stock split would be approximately 506,121 and 14,983 shares of Class A Common Stock and Class B Common Stock, respectively. No fractional shares will be issued as a result of the reverse stock split. Any fractional shares that would result from the reverse stock split will be rounded up to the nearest whole share.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Arial" w:hAnsi="Arial"/>
          <w:caps w:val="false"/>
          <w:smallCaps w:val="false"/>
          <w:sz w:val="22"/>
        </w:rPr>
      </w:pPr>
      <w:r>
        <w:rPr>
          <w:rFonts w:ascii="Arial" w:hAnsi="Arial"/>
          <w:caps w:val="false"/>
          <w:smallCaps w:val="false"/>
          <w:sz w:val="22"/>
        </w:rPr>
        <w:t>The reverse stock split will affect all issued and outstanding shares of the Company's Common Stock, as well as the number of shares of Common Stock available for issuance under the Company's stock options and warrants. In addition, the reverse stock split will correspondingly increase the respective aggregate exercise prices of our outstanding options and warrants. The reverse stock split will affect all holders of Common Stock uniformly and will not alter any shareholder's percentage interest in the Company's Common Stock, except to the extent that the reverse stock split results in some shareholders experiencing an adjustment of a fractional share as described above.</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Arial" w:hAnsi="Arial"/>
          <w:caps w:val="false"/>
          <w:smallCaps w:val="false"/>
          <w:sz w:val="22"/>
        </w:rPr>
      </w:pPr>
      <w:r>
        <w:rPr>
          <w:rFonts w:ascii="Arial" w:hAnsi="Arial"/>
          <w:caps w:val="false"/>
          <w:smallCaps w:val="false"/>
          <w:sz w:val="22"/>
        </w:rPr>
        <w:t>Shareholders holding share certificates will receive information from Continental Stock Transfer &amp; Trust Company, the Company's transfer agent, regarding the process for exchanging their existing stock certificates representing pre-split shares; shareholders need not take any action with respect to the Name Change. Shareholders with questions may contact our transfer agent by calling 800-509-5586.</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Arial" w:hAnsi="Arial"/>
          <w:caps w:val="false"/>
          <w:smallCaps w:val="false"/>
          <w:sz w:val="22"/>
        </w:rPr>
      </w:pPr>
      <w:r>
        <w:rPr>
          <w:rFonts w:ascii="Arial" w:hAnsi="Arial"/>
          <w:b/>
          <w:caps w:val="false"/>
          <w:smallCaps w:val="false"/>
          <w:sz w:val="22"/>
        </w:rPr>
        <w:t>About Parabolic</w:t>
      </w:r>
      <w:r>
        <w:rPr>
          <w:rFonts w:ascii="Arial" w:hAnsi="Arial"/>
          <w:caps w:val="false"/>
          <w:smallCaps w:val="false"/>
          <w:sz w:val="22"/>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Arial" w:hAnsi="Arial"/>
          <w:caps w:val="false"/>
          <w:smallCaps w:val="false"/>
          <w:sz w:val="22"/>
        </w:rPr>
      </w:pPr>
      <w:r>
        <w:rPr>
          <w:rFonts w:ascii="Arial" w:hAnsi="Arial"/>
          <w:caps w:val="false"/>
          <w:smallCaps w:val="false"/>
          <w:sz w:val="22"/>
        </w:rPr>
        <w:t xml:space="preserve">Parabolic builds agentic applications that power the future of business. We believe that the future of enterprise software will be agentic applications that are net-beneficiaries of AI transformation, and we focus on building, acquiring, and investing in those and related businesses. We have over 150,000 customers including Amazon, Dell, Salesforce, Aflac, Thermo Fisher Scientific, RBC Wealth Management, and Fitch Group. Learn more at </w:t>
      </w:r>
      <w:r>
        <w:rPr>
          <w:rFonts w:ascii="Arial" w:hAnsi="Arial"/>
          <w:caps w:val="false"/>
          <w:smallCaps w:val="false"/>
          <w:sz w:val="22"/>
          <w:u w:val="single"/>
        </w:rPr>
        <w:t>www.parabolic.io</w:t>
      </w:r>
      <w:r>
        <w:rPr>
          <w:rFonts w:ascii="Arial" w:hAnsi="Arial"/>
          <w:caps w:val="false"/>
          <w:smallCaps w:val="false"/>
          <w:sz w:val="22"/>
        </w:rPr>
        <w:t xml:space="preserve">. For investors, please visit </w:t>
      </w:r>
      <w:r>
        <w:rPr>
          <w:rFonts w:ascii="Arial" w:hAnsi="Arial"/>
          <w:caps w:val="false"/>
          <w:smallCaps w:val="false"/>
          <w:sz w:val="22"/>
          <w:u w:val="single"/>
        </w:rPr>
        <w:t>ir.banzai.io</w:t>
      </w:r>
      <w:r>
        <w:rPr>
          <w:rFonts w:ascii="Arial" w:hAnsi="Arial"/>
          <w:caps w:val="false"/>
          <w:smallCaps w:val="false"/>
          <w:sz w:val="22"/>
        </w:rPr>
        <w:t>.</w:t>
      </w:r>
    </w:p>
    <w:p>
      <w:pPr>
        <w:pStyle w:val="TextBody"/>
        <w:bidi w:val="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both"/>
        <w:rPr>
          <w:rFonts w:ascii="Arial" w:hAnsi="Arial"/>
          <w:caps w:val="false"/>
          <w:smallCaps w:val="false"/>
          <w:sz w:val="22"/>
        </w:rPr>
      </w:pPr>
      <w:r>
        <w:rPr>
          <w:rFonts w:ascii="Arial" w:hAnsi="Arial"/>
          <w:b/>
          <w:caps w:val="false"/>
          <w:smallCaps w:val="false"/>
          <w:sz w:val="22"/>
        </w:rPr>
        <w:t>Forward-Looking Statements</w:t>
      </w:r>
      <w:r>
        <w:rPr>
          <w:rFonts w:ascii="Arial" w:hAnsi="Arial"/>
          <w:caps w:val="false"/>
          <w:smallCaps w:val="false"/>
          <w:sz w:val="22"/>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Arial" w:hAnsi="Arial"/>
          <w:caps w:val="false"/>
          <w:smallCaps w:val="false"/>
          <w:sz w:val="22"/>
        </w:rPr>
      </w:pPr>
      <w:r>
        <w:rPr>
          <w:rFonts w:ascii="Arial" w:hAnsi="Arial"/>
          <w:caps w:val="false"/>
          <w:smallCaps w:val="false"/>
          <w:sz w:val="22"/>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Banzai International, Inc.’s (the “Company’s”): future financial, business and operating performance and goals; annualized recurring revenue and customer retention; ongoing, future or ability to maintain or improve its financial position, cash flows, and liquidity and its 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the Company’s industry, outlook and market trends; total addressable market and serviceable addressable market and related projections; plans, strategies and expectations for retaining existing or acquiring new customers, increasing revenue and executing growth initiatives; and product areas of focus and additional products that may be sold in the future.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of this press release.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Arial" w:hAnsi="Arial"/>
          <w:caps w:val="false"/>
          <w:smallCaps w:val="false"/>
          <w:sz w:val="22"/>
        </w:rPr>
      </w:pPr>
      <w:r>
        <w:rPr>
          <w:rFonts w:ascii="Arial" w:hAnsi="Arial"/>
          <w:b/>
          <w:caps w:val="false"/>
          <w:smallCaps w:val="false"/>
          <w:sz w:val="22"/>
        </w:rPr>
        <w:t>Investor Relations</w:t>
      </w:r>
      <w:r>
        <w:rPr>
          <w:rFonts w:ascii="Arial" w:hAnsi="Arial"/>
          <w:caps w:val="false"/>
          <w:smallCaps w:val="false"/>
          <w:sz w:val="22"/>
        </w:rPr>
        <w:t xml:space="preserve"> </w:t>
      </w:r>
    </w:p>
    <w:p>
      <w:pPr>
        <w:pStyle w:val="TextBody"/>
        <w:bidi w:val="0"/>
        <w:ind w:left="0" w:right="0" w:hanging="0"/>
        <w:jc w:val="left"/>
        <w:rPr>
          <w:rFonts w:ascii="Arial" w:hAnsi="Arial"/>
          <w:caps w:val="false"/>
          <w:smallCaps w:val="false"/>
          <w:sz w:val="22"/>
        </w:rPr>
      </w:pPr>
      <w:r>
        <w:rPr>
          <w:rFonts w:ascii="Arial" w:hAnsi="Arial"/>
          <w:caps w:val="false"/>
          <w:smallCaps w:val="false"/>
          <w:sz w:val="22"/>
        </w:rPr>
        <w:t>Dean Ditto</w:t>
      </w:r>
    </w:p>
    <w:p>
      <w:pPr>
        <w:pStyle w:val="TextBody"/>
        <w:bidi w:val="0"/>
        <w:ind w:left="0" w:right="0" w:hanging="0"/>
        <w:jc w:val="left"/>
        <w:rPr>
          <w:rFonts w:ascii="Arial" w:hAnsi="Arial"/>
          <w:caps w:val="false"/>
          <w:smallCaps w:val="false"/>
          <w:sz w:val="22"/>
        </w:rPr>
      </w:pPr>
      <w:r>
        <w:rPr>
          <w:rFonts w:ascii="Arial" w:hAnsi="Arial"/>
          <w:caps w:val="false"/>
          <w:smallCaps w:val="false"/>
          <w:sz w:val="22"/>
        </w:rPr>
        <w:t>Chief Financial Officer</w:t>
      </w:r>
    </w:p>
    <w:p>
      <w:pPr>
        <w:pStyle w:val="TextBody"/>
        <w:bidi w:val="0"/>
        <w:ind w:left="0" w:right="0" w:hanging="0"/>
        <w:jc w:val="left"/>
        <w:rPr>
          <w:rFonts w:ascii="Arial" w:hAnsi="Arial"/>
          <w:caps w:val="false"/>
          <w:smallCaps w:val="false"/>
          <w:sz w:val="22"/>
        </w:rPr>
      </w:pPr>
      <w:r>
        <w:rPr>
          <w:rFonts w:ascii="Arial" w:hAnsi="Arial"/>
          <w:caps w:val="false"/>
          <w:smallCaps w:val="false"/>
          <w:sz w:val="22"/>
        </w:rPr>
        <w:t>206 414-1777</w:t>
      </w:r>
    </w:p>
    <w:p>
      <w:pPr>
        <w:pStyle w:val="TextBody"/>
        <w:bidi w:val="0"/>
        <w:ind w:left="0" w:right="0" w:hanging="0"/>
        <w:jc w:val="left"/>
        <w:rPr>
          <w:rFonts w:ascii="Arial" w:hAnsi="Arial"/>
          <w:caps w:val="false"/>
          <w:smallCaps w:val="false"/>
          <w:sz w:val="22"/>
        </w:rPr>
      </w:pPr>
      <w:r>
        <w:rPr>
          <w:rFonts w:ascii="Arial" w:hAnsi="Arial"/>
          <w:caps w:val="false"/>
          <w:smallCaps w:val="false"/>
          <w:sz w:val="22"/>
          <w:u w:val="single"/>
        </w:rPr>
        <w:t>ir.banzai.io</w:t>
      </w:r>
      <w:r>
        <w:rPr>
          <w:rFonts w:ascii="Arial" w:hAnsi="Arial"/>
          <w:caps w:val="false"/>
          <w:smallCaps w:val="false"/>
          <w:sz w:val="22"/>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Arial" w:hAnsi="Arial"/>
          <w:caps w:val="false"/>
          <w:smallCaps w:val="false"/>
          <w:sz w:val="22"/>
        </w:rPr>
      </w:pPr>
      <w:r>
        <w:rPr>
          <w:rFonts w:ascii="Arial" w:hAnsi="Arial"/>
          <w:b/>
          <w:caps w:val="false"/>
          <w:smallCaps w:val="false"/>
          <w:sz w:val="22"/>
        </w:rPr>
        <w:t>Media</w:t>
      </w:r>
      <w:r>
        <w:rPr>
          <w:rFonts w:ascii="Arial" w:hAnsi="Arial"/>
          <w:caps w:val="false"/>
          <w:smallCaps w:val="false"/>
          <w:sz w:val="22"/>
        </w:rPr>
        <w:t xml:space="preserve"> </w:t>
      </w:r>
    </w:p>
    <w:p>
      <w:pPr>
        <w:pStyle w:val="TextBody"/>
        <w:bidi w:val="0"/>
        <w:ind w:left="0" w:right="0" w:hanging="0"/>
        <w:jc w:val="left"/>
        <w:rPr>
          <w:rFonts w:ascii="Arial" w:hAnsi="Arial"/>
          <w:caps w:val="false"/>
          <w:smallCaps w:val="false"/>
          <w:sz w:val="22"/>
        </w:rPr>
      </w:pPr>
      <w:r>
        <w:rPr>
          <w:rFonts w:ascii="Arial" w:hAnsi="Arial"/>
          <w:caps w:val="false"/>
          <w:smallCaps w:val="false"/>
          <w:sz w:val="22"/>
        </w:rPr>
        <w:t>Paul Witkowski</w:t>
      </w:r>
    </w:p>
    <w:p>
      <w:pPr>
        <w:pStyle w:val="TextBody"/>
        <w:bidi w:val="0"/>
        <w:ind w:left="0" w:right="0" w:hanging="0"/>
        <w:jc w:val="left"/>
        <w:rPr>
          <w:rFonts w:ascii="Arial" w:hAnsi="Arial"/>
          <w:caps w:val="false"/>
          <w:smallCaps w:val="false"/>
          <w:sz w:val="22"/>
        </w:rPr>
      </w:pPr>
      <w:r>
        <w:rPr>
          <w:rFonts w:ascii="Arial" w:hAnsi="Arial"/>
          <w:caps w:val="false"/>
          <w:smallCaps w:val="false"/>
          <w:sz w:val="22"/>
        </w:rPr>
        <w:t>Senior Director Financial Reporting</w:t>
      </w:r>
    </w:p>
    <w:p>
      <w:pPr>
        <w:pStyle w:val="TextBody"/>
        <w:bidi w:val="0"/>
        <w:spacing w:before="0" w:after="283"/>
        <w:ind w:left="0" w:right="0" w:hanging="0"/>
        <w:jc w:val="left"/>
        <w:rPr>
          <w:rFonts w:ascii="Arial" w:hAnsi="Arial"/>
          <w:caps w:val="false"/>
          <w:smallCaps w:val="false"/>
          <w:sz w:val="22"/>
        </w:rPr>
      </w:pPr>
      <w:r>
        <w:rPr>
          <w:rFonts w:ascii="Arial" w:hAnsi="Arial"/>
          <w:caps w:val="false"/>
          <w:smallCaps w:val="false"/>
          <w:sz w:val="22"/>
          <w:u w:val="single"/>
        </w:rPr>
        <w:t>media@parabolic.io</w:t>
      </w:r>
      <w:r>
        <w:rPr>
          <w:rFonts w:ascii="Arial" w:hAnsi="Arial"/>
          <w:caps w:val="false"/>
          <w:smallCaps w:val="false"/>
          <w:sz w:val="22"/>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19625</Words>
  <Characters>102111</Characters>
  <CharactersWithSpaces>121901</CharactersWithSpaces>
  <Paragraphs>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