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para20261021_8k.htm"/>
      <w:bookmarkStart w:id="1" w:name="kspara20261021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UNITED STATES</w:t>
      </w:r>
      <w:r>
        <w:rPr>
          <w:rFonts w:ascii="Times New Roman" w:hAnsi="Times New Roman"/>
          <w:caps w:val="false"/>
          <w:smallCaps w:val="false"/>
          <w:sz w:val="28"/>
        </w:rPr>
        <w:t> </w:t>
        <w:br/>
      </w:r>
      <w:r>
        <w:rPr>
          <w:rFonts w:ascii="Times New Roman" w:hAnsi="Times New Roman"/>
          <w:b/>
          <w:caps w:val="false"/>
          <w:smallCaps w:val="false"/>
          <w:sz w:val="28"/>
        </w:rPr>
        <w:t>SECURITIES AND EXCHANGE COMMISSION</w:t>
      </w:r>
      <w:r>
        <w:rPr>
          <w:rFonts w:ascii="Times New Roman" w:hAnsi="Times New Roman"/>
          <w:caps w:val="false"/>
          <w:smallCaps w:val="false"/>
          <w:sz w:val="28"/>
        </w:rPr>
        <w:t> </w:t>
        <w:br/>
      </w:r>
      <w:r>
        <w:rPr>
          <w:rFonts w:ascii="Times New Roman" w:hAnsi="Times New Roman"/>
          <w:b/>
          <w:caps w:val="false"/>
          <w:smallCaps w:val="false"/>
          <w:sz w:val="28"/>
        </w:rPr>
        <w:t>Washington, D.C. 20549</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 8-K</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CURRENT REPORT</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 13 OR 15(d) of 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October 20,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Banzai International, Inc.</w:t>
      </w:r>
      <w:r>
        <w:rPr>
          <w:rFonts w:ascii="Times New Roman" w:hAnsi="Times New Roman"/>
          <w:caps w:val="false"/>
          <w:smallCaps w:val="false"/>
          <w:sz w:val="4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150"/>
        <w:gridCol w:w="221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001-39826</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85-3118980</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5585"/>
      </w:tblGrid>
      <w:tr>
        <w:trPr/>
        <w:tc>
          <w:tcPr>
            <w:tcW w:w="55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435 Eriksen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250</w:t>
            </w:r>
          </w:p>
        </w:tc>
      </w:tr>
      <w:tr>
        <w:trPr/>
        <w:tc>
          <w:tcPr>
            <w:tcW w:w="55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Bainbridge Island, Washington</w:t>
            </w:r>
            <w:r>
              <w:rPr>
                <w:rFonts w:ascii="Times New Roman" w:hAnsi="Times New Roman"/>
                <w:caps w:val="false"/>
                <w:smallCaps w:val="false"/>
                <w:sz w:val="20"/>
              </w:rPr>
              <w:t> </w:t>
            </w:r>
            <w:r>
              <w:rPr>
                <w:rFonts w:ascii="Times New Roman" w:hAnsi="Times New Roman"/>
                <w:b/>
                <w:caps w:val="false"/>
                <w:smallCaps w:val="false"/>
                <w:sz w:val="20"/>
              </w:rPr>
              <w:t>98110</w:t>
            </w:r>
          </w:p>
        </w:tc>
      </w:tr>
      <w:tr>
        <w:trPr/>
        <w:tc>
          <w:tcPr>
            <w:tcW w:w="55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5585" w:type="dxa"/>
            <w:tcBorders/>
            <w:vAlign w:val="center"/>
          </w:tcPr>
          <w:p>
            <w:pPr>
              <w:pStyle w:val="TableContents"/>
              <w:bidi w:val="0"/>
              <w:spacing w:before="0" w:after="0"/>
              <w:ind w:left="0" w:right="0" w:hanging="0"/>
              <w:jc w:val="left"/>
              <w:rPr/>
            </w:pPr>
            <w:r>
              <w:rPr/>
              <w:t> </w:t>
            </w:r>
          </w:p>
        </w:tc>
      </w:tr>
      <w:tr>
        <w:trPr/>
        <w:tc>
          <w:tcPr>
            <w:tcW w:w="55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(206)</w:t>
            </w:r>
            <w:r>
              <w:rPr>
                <w:rFonts w:ascii="Times New Roman" w:hAnsi="Times New Roman"/>
                <w:caps w:val="false"/>
                <w:smallCaps w:val="false"/>
                <w:sz w:val="20"/>
              </w:rPr>
              <w:t> </w:t>
            </w:r>
            <w:r>
              <w:rPr>
                <w:rFonts w:ascii="Times New Roman" w:hAnsi="Times New Roman"/>
                <w:b/>
                <w:caps w:val="false"/>
                <w:smallCaps w:val="false"/>
                <w:sz w:val="20"/>
              </w:rPr>
              <w:t>414-1777</w:t>
            </w:r>
          </w:p>
        </w:tc>
      </w:tr>
      <w:tr>
        <w:trPr/>
        <w:tc>
          <w:tcPr>
            <w:tcW w:w="5585" w:type="dxa"/>
            <w:tcBorders/>
            <w:vAlign w:val="center"/>
          </w:tcPr>
          <w:p>
            <w:pPr>
              <w:pStyle w:val="TableContents"/>
              <w:bidi w:val="0"/>
              <w:spacing w:before="0" w:after="0"/>
              <w:ind w:left="0" w:right="0" w:hanging="0"/>
              <w:jc w:val="left"/>
              <w:rPr/>
            </w:pPr>
            <w:r>
              <w:rPr/>
              <w:t> </w:t>
            </w:r>
          </w:p>
        </w:tc>
      </w:tr>
      <w:tr>
        <w:trPr/>
        <w:tc>
          <w:tcPr>
            <w:tcW w:w="55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w:t>
        <w:br/>
        <w:t> </w:t>
      </w:r>
    </w:p>
    <w:tbl>
      <w:tblPr>
        <w:tblW w:w="10205" w:type="dxa"/>
        <w:jc w:val="left"/>
        <w:tblInd w:w="0" w:type="dxa"/>
        <w:tblLayout w:type="fixed"/>
        <w:tblCellMar>
          <w:top w:w="0" w:type="dxa"/>
          <w:left w:w="0" w:type="dxa"/>
          <w:bottom w:w="28" w:type="dxa"/>
          <w:right w:w="0" w:type="dxa"/>
        </w:tblCellMar>
      </w:tblPr>
      <w:tblGrid>
        <w:gridCol w:w="6450"/>
        <w:gridCol w:w="60"/>
        <w:gridCol w:w="821"/>
        <w:gridCol w:w="60"/>
        <w:gridCol w:w="2814"/>
      </w:tblGrid>
      <w:tr>
        <w:trPr/>
        <w:tc>
          <w:tcPr>
            <w:tcW w:w="64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4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r>
        <w:trPr/>
        <w:tc>
          <w:tcPr>
            <w:tcW w:w="64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PARAW</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4772" w:type="dxa"/>
        <w:jc w:val="left"/>
        <w:tblInd w:w="0" w:type="dxa"/>
        <w:tblLayout w:type="fixed"/>
        <w:tblCellMar>
          <w:top w:w="28" w:type="dxa"/>
          <w:left w:w="28" w:type="dxa"/>
          <w:bottom w:w="28" w:type="dxa"/>
          <w:right w:w="28" w:type="dxa"/>
        </w:tblCellMar>
      </w:tblPr>
      <w:tblGrid>
        <w:gridCol w:w="916"/>
        <w:gridCol w:w="385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1.01</w:t>
            </w:r>
          </w:p>
        </w:tc>
        <w:tc>
          <w:tcPr>
            <w:tcW w:w="38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Banzai International, Inc. (the "Company") entered into a Repurchase Agreement with an institutional investor (the “Investor”), on October 20, 2026 (the “Repurchase Agreement”), pursuant to which, upon the closing of a public offering (the “Offering”), the Company shall repurchase certain common stock purchase warrants that allow the Investor to purchase up to 1,662,862 shares of the Company’s common stock (the “Existing Warrants”), par value $0.0001 per share (the “Common Stock”), for $1.5 million in cash (the “Warrant Repurchase Price”).  Upon payment of the Warrant Repurchase Price, the Existing Warrants shall be cancelled and be of no further force or effect.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Previously, on June 27, 2025, the Company and the Investor entered into that certain Securities Purchase Agreement, (as amended, supplemented or otherwise modified from time to time, the “Securities Purchase Agreement”), pursuant to which, among other things, the Company issued to the Investor: (i) a senior secured convertible note, dated August 12, 2026, (the “Existing Note”) and (ii) the Existing Warrants, which have a current exercise price equal to $1.245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Pursuant to the Repurchase Agreement, the Investor has a right to participate in the Offering in an amount not less than $6 million, or such lesser amount as the Company may specify, subject to the procedures and conditions in the Repurchase Agreement.  Additionally, the Investor agreed to a standstill period regarding the Existing Note for a period of eighteen trading days commencing on, and including, the date of the public filing of the registration statement for the Offering and to waive certain provisions included in the Securities Purchase Agreement and the Existing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agreed to pay the Investor’s legal fees of $20,000 associated with the drafting and negotiation of the Repurchase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foregoing description of the Repurchase Agreement does not purport to be complete and is qualified in its entirety by reference to the full text of the Repurchase Agreement, which is filed as Exhibit 10.1 to this Current Report on Form 8-K and incorporated herein by reference.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tbl>
      <w:tblPr>
        <w:tblW w:w="5552" w:type="dxa"/>
        <w:jc w:val="left"/>
        <w:tblInd w:w="0" w:type="dxa"/>
        <w:tblLayout w:type="fixed"/>
        <w:tblCellMar>
          <w:top w:w="28" w:type="dxa"/>
          <w:left w:w="28" w:type="dxa"/>
          <w:bottom w:w="28" w:type="dxa"/>
          <w:right w:w="28" w:type="dxa"/>
        </w:tblCellMar>
      </w:tblPr>
      <w:tblGrid>
        <w:gridCol w:w="916"/>
        <w:gridCol w:w="463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3.03</w:t>
            </w:r>
          </w:p>
        </w:tc>
        <w:tc>
          <w:tcPr>
            <w:tcW w:w="463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Modifications to Rights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in Item 1.01 of this Current Report on Form 8-K regarding the Repurchase Agreement and the transaction contemplated thereby is incorporated herein by reference. </w:t>
      </w:r>
    </w:p>
    <w:p>
      <w:pPr>
        <w:pStyle w:val="TextBody"/>
        <w:bidi w:val="0"/>
        <w:spacing w:before="0" w:after="0"/>
        <w:ind w:left="0" w:right="0" w:hanging="0"/>
        <w:jc w:val="left"/>
        <w:rPr/>
      </w:pPr>
      <w:r>
        <w:rPr/>
        <w:t> </w:t>
      </w:r>
    </w:p>
    <w:tbl>
      <w:tblPr>
        <w:tblW w:w="3992" w:type="dxa"/>
        <w:jc w:val="left"/>
        <w:tblInd w:w="0" w:type="dxa"/>
        <w:tblLayout w:type="fixed"/>
        <w:tblCellMar>
          <w:top w:w="0" w:type="dxa"/>
          <w:left w:w="0" w:type="dxa"/>
          <w:bottom w:w="0" w:type="dxa"/>
          <w:right w:w="0"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1028667.htm">
              <w:r>
                <w:rPr>
                  <w:rStyle w:val="InternetLink"/>
                  <w:rFonts w:ascii="Times New Roman" w:hAnsi="Times New Roman"/>
                  <w:caps w:val="false"/>
                  <w:smallCaps w:val="false"/>
                  <w:sz w:val="20"/>
                </w:rPr>
                <w:t>Repurchase Agreement dated October 20, 2026</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October 21, 2026</w:t>
      </w:r>
    </w:p>
    <w:p>
      <w:pPr>
        <w:pStyle w:val="TextBody"/>
        <w:bidi w:val="0"/>
        <w:spacing w:before="0" w:after="0"/>
        <w:ind w:left="0" w:right="0" w:hanging="0"/>
        <w:jc w:val="left"/>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60"/>
        <w:gridCol w:w="416"/>
        <w:gridCol w:w="2528"/>
      </w:tblGrid>
      <w:tr>
        <w:trPr/>
        <w:tc>
          <w:tcPr>
            <w:tcW w:w="60" w:type="dxa"/>
            <w:tcBorders/>
            <w:vAlign w:val="center"/>
          </w:tcPr>
          <w:p>
            <w:pPr>
              <w:pStyle w:val="TableContents"/>
              <w:bidi w:val="0"/>
              <w:spacing w:before="0" w:after="0"/>
              <w:ind w:left="0" w:right="0" w:hanging="0"/>
              <w:jc w:val="left"/>
              <w:rPr/>
            </w:pPr>
            <w:r>
              <w:rPr/>
              <w:t> </w:t>
            </w:r>
          </w:p>
        </w:tc>
        <w:tc>
          <w:tcPr>
            <w:tcW w:w="29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BANZAI INTERNATIONAL, INC</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5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Joseph Davy</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Davy</w:t>
            </w:r>
          </w:p>
        </w:tc>
      </w:tr>
      <w:tr>
        <w:trPr/>
        <w:tc>
          <w:tcPr>
            <w:tcW w:w="60"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25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2"/>
        </w:rPr>
      </w:pPr>
      <w:bookmarkStart w:id="2" w:name="ex_1028667.htm"/>
      <w:bookmarkStart w:id="3" w:name="ksex_1028667"/>
      <w:bookmarkEnd w:id="2"/>
      <w:bookmarkEnd w:id="3"/>
      <w:r>
        <w:rPr>
          <w:rFonts w:ascii="Times New Roman;Times;serif" w:hAnsi="Times New Roman;Times;serif"/>
          <w:b/>
          <w:sz w:val="22"/>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4"/>
        </w:rPr>
      </w:pPr>
      <w:r>
        <w:rPr>
          <w:rFonts w:ascii="Times New Roman" w:hAnsi="Times New Roman"/>
          <w:b/>
          <w:caps w:val="false"/>
          <w:smallCaps w:val="false"/>
          <w:sz w:val="24"/>
        </w:rPr>
        <w:t>EXECUTION COPY</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4"/>
        </w:rPr>
      </w:pPr>
      <w:r>
        <w:rPr>
          <w:rFonts w:ascii="Times New Roman" w:hAnsi="Times New Roman"/>
          <w:b/>
          <w:caps w:val="false"/>
          <w:smallCaps w:val="false"/>
          <w:sz w:val="24"/>
        </w:rPr>
        <w:t>REPURCHASE AGREEMENT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4"/>
        </w:rPr>
      </w:pPr>
      <w:r>
        <w:rPr>
          <w:rFonts w:ascii="Times New Roman" w:hAnsi="Times New Roman"/>
          <w:caps w:val="false"/>
          <w:smallCaps w:val="false"/>
          <w:sz w:val="24"/>
        </w:rPr>
        <w:t>This Repurchase Agreement (the “</w:t>
      </w:r>
      <w:r>
        <w:rPr>
          <w:rFonts w:ascii="Times New Roman" w:hAnsi="Times New Roman"/>
          <w:b/>
          <w:caps w:val="false"/>
          <w:smallCaps w:val="false"/>
          <w:sz w:val="24"/>
        </w:rPr>
        <w:t>Agreement</w:t>
      </w:r>
      <w:r>
        <w:rPr>
          <w:rFonts w:ascii="Times New Roman" w:hAnsi="Times New Roman"/>
          <w:caps w:val="false"/>
          <w:smallCaps w:val="false"/>
          <w:sz w:val="24"/>
        </w:rPr>
        <w:t>”) is entered into as of this 20th day of October, 2026, by and between Banzai International, Inc., a Delaware corporation (the “</w:t>
      </w:r>
      <w:r>
        <w:rPr>
          <w:rFonts w:ascii="Times New Roman" w:hAnsi="Times New Roman"/>
          <w:b/>
          <w:caps w:val="false"/>
          <w:smallCaps w:val="false"/>
          <w:sz w:val="24"/>
        </w:rPr>
        <w:t>Company</w:t>
      </w:r>
      <w:r>
        <w:rPr>
          <w:rFonts w:ascii="Times New Roman" w:hAnsi="Times New Roman"/>
          <w:caps w:val="false"/>
          <w:smallCaps w:val="false"/>
          <w:sz w:val="24"/>
        </w:rPr>
        <w:t>”) and the Holder signatory hereto (the “</w:t>
      </w:r>
      <w:r>
        <w:rPr>
          <w:rFonts w:ascii="Times New Roman" w:hAnsi="Times New Roman"/>
          <w:b/>
          <w:caps w:val="false"/>
          <w:smallCaps w:val="false"/>
          <w:sz w:val="24"/>
        </w:rPr>
        <w:t>Holder</w:t>
      </w:r>
      <w:r>
        <w:rPr>
          <w:rFonts w:ascii="Times New Roman" w:hAnsi="Times New Roman"/>
          <w:caps w:val="false"/>
          <w:smallCaps w:val="false"/>
          <w:sz w:val="24"/>
        </w:rPr>
        <w:t>”), with reference to the following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4"/>
        </w:rPr>
      </w:pPr>
      <w:r>
        <w:rPr>
          <w:rFonts w:ascii="Times New Roman" w:hAnsi="Times New Roman"/>
          <w:caps w:val="false"/>
          <w:smallCaps w:val="false"/>
          <w:sz w:val="24"/>
        </w:rPr>
        <w:t>A.    On June 27, 2025, the Company and the Holder entered into that certain Securities Purchase Agreement, (as amended, supplemented or otherwise modified from time to time, the “</w:t>
      </w:r>
      <w:r>
        <w:rPr>
          <w:rFonts w:ascii="Times New Roman" w:hAnsi="Times New Roman"/>
          <w:b/>
          <w:caps w:val="false"/>
          <w:smallCaps w:val="false"/>
          <w:sz w:val="24"/>
        </w:rPr>
        <w:t>Securities Purchase Agreement</w:t>
      </w:r>
      <w:r>
        <w:rPr>
          <w:rFonts w:ascii="Times New Roman" w:hAnsi="Times New Roman"/>
          <w:caps w:val="false"/>
          <w:smallCaps w:val="false"/>
          <w:sz w:val="24"/>
        </w:rPr>
        <w:t>”), pursuant to which, among other things, the Company issued to the Holder: (i) a senior secured convertible note, dated August 12, 2026, (the “</w:t>
      </w:r>
      <w:r>
        <w:rPr>
          <w:rFonts w:ascii="Times New Roman" w:hAnsi="Times New Roman"/>
          <w:b/>
          <w:caps w:val="false"/>
          <w:smallCaps w:val="false"/>
          <w:sz w:val="24"/>
        </w:rPr>
        <w:t>Existing Note</w:t>
      </w:r>
      <w:r>
        <w:rPr>
          <w:rFonts w:ascii="Times New Roman" w:hAnsi="Times New Roman"/>
          <w:caps w:val="false"/>
          <w:smallCaps w:val="false"/>
          <w:sz w:val="24"/>
        </w:rPr>
        <w:t xml:space="preserve">”) and (ii) those certain warrants to purchase shares of Common Stock (as defined in the Securities Purchase Agreement), as described on </w:t>
      </w:r>
      <w:r>
        <w:rPr>
          <w:rFonts w:ascii="Times New Roman" w:hAnsi="Times New Roman"/>
          <w:caps w:val="false"/>
          <w:smallCaps w:val="false"/>
          <w:sz w:val="24"/>
          <w:u w:val="single"/>
        </w:rPr>
        <w:t>Schedule A</w:t>
      </w:r>
      <w:r>
        <w:rPr>
          <w:rFonts w:ascii="Times New Roman" w:hAnsi="Times New Roman"/>
          <w:caps w:val="false"/>
          <w:smallCaps w:val="false"/>
          <w:sz w:val="24"/>
        </w:rPr>
        <w:t xml:space="preserve"> attached hereto (each an “</w:t>
      </w:r>
      <w:r>
        <w:rPr>
          <w:rFonts w:ascii="Times New Roman" w:hAnsi="Times New Roman"/>
          <w:b/>
          <w:caps w:val="false"/>
          <w:smallCaps w:val="false"/>
          <w:sz w:val="24"/>
        </w:rPr>
        <w:t>Existing Warrant</w:t>
      </w:r>
      <w:r>
        <w:rPr>
          <w:rFonts w:ascii="Times New Roman" w:hAnsi="Times New Roman"/>
          <w:caps w:val="false"/>
          <w:smallCaps w:val="false"/>
          <w:sz w:val="24"/>
        </w:rPr>
        <w:t xml:space="preserve">” as numbered on </w:t>
      </w:r>
      <w:r>
        <w:rPr>
          <w:rFonts w:ascii="Times New Roman" w:hAnsi="Times New Roman"/>
          <w:caps w:val="false"/>
          <w:smallCaps w:val="false"/>
          <w:sz w:val="24"/>
          <w:u w:val="single"/>
        </w:rPr>
        <w:t>Schedule A</w:t>
      </w:r>
      <w:r>
        <w:rPr>
          <w:rFonts w:ascii="Times New Roman" w:hAnsi="Times New Roman"/>
          <w:caps w:val="false"/>
          <w:smallCaps w:val="false"/>
          <w:sz w:val="24"/>
        </w:rPr>
        <w:t xml:space="preserve"> and collectively, the “</w:t>
      </w:r>
      <w:r>
        <w:rPr>
          <w:rFonts w:ascii="Times New Roman" w:hAnsi="Times New Roman"/>
          <w:b/>
          <w:caps w:val="false"/>
          <w:smallCaps w:val="false"/>
          <w:sz w:val="24"/>
        </w:rPr>
        <w:t>Existing Warrants</w:t>
      </w:r>
      <w:r>
        <w:rPr>
          <w:rFonts w:ascii="Times New Roman" w:hAnsi="Times New Roman"/>
          <w:caps w:val="false"/>
          <w:smallCaps w:val="false"/>
          <w:sz w:val="24"/>
        </w:rPr>
        <w:t>”). Capitalized terms used but not otherwise defined herein shall have the meanings set forth in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4"/>
        </w:rPr>
      </w:pPr>
      <w:r>
        <w:rPr>
          <w:rFonts w:ascii="Times New Roman" w:hAnsi="Times New Roman"/>
          <w:caps w:val="false"/>
          <w:smallCaps w:val="false"/>
          <w:sz w:val="24"/>
        </w:rPr>
        <w:t>B.    The Company is contemplating a public offering of securities (including any securities issued or issuable in connection therewith, the “</w:t>
      </w:r>
      <w:r>
        <w:rPr>
          <w:rFonts w:ascii="Times New Roman" w:hAnsi="Times New Roman"/>
          <w:b/>
          <w:caps w:val="false"/>
          <w:smallCaps w:val="false"/>
          <w:sz w:val="24"/>
        </w:rPr>
        <w:t>Public Offering Securities</w:t>
      </w:r>
      <w:r>
        <w:rPr>
          <w:rFonts w:ascii="Times New Roman" w:hAnsi="Times New Roman"/>
          <w:caps w:val="false"/>
          <w:smallCaps w:val="false"/>
          <w:sz w:val="24"/>
        </w:rPr>
        <w:t>”), on such terms and conditions as may be determined by the Company (the “</w:t>
      </w:r>
      <w:r>
        <w:rPr>
          <w:rFonts w:ascii="Times New Roman" w:hAnsi="Times New Roman"/>
          <w:b/>
          <w:caps w:val="false"/>
          <w:smallCaps w:val="false"/>
          <w:sz w:val="24"/>
        </w:rPr>
        <w:t>Public Offering</w:t>
      </w:r>
      <w:r>
        <w:rPr>
          <w:rFonts w:ascii="Times New Roman" w:hAnsi="Times New Roman"/>
          <w:caps w:val="false"/>
          <w:smallCaps w:val="false"/>
          <w:sz w:val="24"/>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4"/>
        </w:rPr>
      </w:pPr>
      <w:r>
        <w:rPr>
          <w:rFonts w:ascii="Times New Roman" w:hAnsi="Times New Roman"/>
          <w:caps w:val="false"/>
          <w:smallCaps w:val="false"/>
          <w:sz w:val="24"/>
        </w:rPr>
        <w:t>C.    In connection with the consummation of the Public Offering, the Company desires to repurchase (the “</w:t>
      </w:r>
      <w:r>
        <w:rPr>
          <w:rFonts w:ascii="Times New Roman" w:hAnsi="Times New Roman"/>
          <w:b/>
          <w:caps w:val="false"/>
          <w:smallCaps w:val="false"/>
          <w:sz w:val="24"/>
        </w:rPr>
        <w:t>Repurchase Transaction</w:t>
      </w:r>
      <w:r>
        <w:rPr>
          <w:rFonts w:ascii="Times New Roman" w:hAnsi="Times New Roman"/>
          <w:caps w:val="false"/>
          <w:smallCaps w:val="false"/>
          <w:sz w:val="24"/>
        </w:rPr>
        <w:t>”) the Existing Warrants, in cash, from the net proceeds of the Public Offering. This Agreement and such other documents and certificates related thereto are collectively referred to herein as the “</w:t>
      </w:r>
      <w:r>
        <w:rPr>
          <w:rFonts w:ascii="Times New Roman" w:hAnsi="Times New Roman"/>
          <w:b/>
          <w:caps w:val="false"/>
          <w:smallCaps w:val="false"/>
          <w:sz w:val="24"/>
        </w:rPr>
        <w:t>Repurchase Documents</w:t>
      </w:r>
      <w:r>
        <w:rPr>
          <w:rFonts w:ascii="Times New Roman" w:hAnsi="Times New Roman"/>
          <w:caps w:val="false"/>
          <w:smallCaps w:val="false"/>
          <w:sz w:val="24"/>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4"/>
        </w:rPr>
      </w:pPr>
      <w:r>
        <w:rPr>
          <w:rFonts w:ascii="Times New Roman" w:hAnsi="Times New Roman"/>
          <w:caps w:val="false"/>
          <w:smallCaps w:val="false"/>
          <w:sz w:val="24"/>
        </w:rPr>
        <w:t>NOW, THEREFORE, in consideration of the foregoing premises and the mutual covenants hereinafter contained, the parties hereto agree as follows:</w:t>
      </w:r>
    </w:p>
    <w:p>
      <w:pPr>
        <w:pStyle w:val="TextBody"/>
        <w:bidi w:val="0"/>
        <w:spacing w:before="0" w:after="0"/>
        <w:ind w:left="0" w:right="0" w:hanging="0"/>
        <w:jc w:val="both"/>
        <w:rPr>
          <w:caps w:val="false"/>
          <w:smallCaps w:val="false"/>
        </w:rPr>
      </w:pPr>
      <w:r>
        <w:rPr>
          <w:caps w:val="false"/>
          <w:smallCaps w:val="false"/>
        </w:rPr>
        <w:t> </w:t>
      </w:r>
    </w:p>
    <w:tbl>
      <w:tblPr>
        <w:tblW w:w="6148" w:type="dxa"/>
        <w:jc w:val="left"/>
        <w:tblInd w:w="0" w:type="dxa"/>
        <w:tblLayout w:type="fixed"/>
        <w:tblCellMar>
          <w:top w:w="28" w:type="dxa"/>
          <w:left w:w="28" w:type="dxa"/>
          <w:bottom w:w="28" w:type="dxa"/>
          <w:right w:w="28" w:type="dxa"/>
        </w:tblCellMar>
      </w:tblPr>
      <w:tblGrid>
        <w:gridCol w:w="161"/>
        <w:gridCol w:w="286"/>
        <w:gridCol w:w="570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1.</w:t>
            </w:r>
          </w:p>
        </w:tc>
        <w:tc>
          <w:tcPr>
            <w:tcW w:w="5701"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u w:val="single"/>
              </w:rPr>
              <w:t>Repurchase of Existing Warrants; Participation Right</w:t>
            </w:r>
            <w:r>
              <w:rPr>
                <w:rFonts w:ascii="Times New Roman" w:hAnsi="Times New Roman"/>
                <w:caps w:val="false"/>
                <w:smallCaps w:val="false"/>
                <w:sz w:val="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1.1    </w:t>
      </w:r>
      <w:r>
        <w:rPr>
          <w:rFonts w:ascii="Times New Roman" w:hAnsi="Times New Roman"/>
          <w:caps w:val="false"/>
          <w:smallCaps w:val="false"/>
          <w:sz w:val="24"/>
          <w:u w:val="single"/>
        </w:rPr>
        <w:t>Repurchase Transaction</w:t>
      </w:r>
      <w:r>
        <w:rPr>
          <w:rFonts w:ascii="Times New Roman" w:hAnsi="Times New Roman"/>
          <w:caps w:val="false"/>
          <w:smallCaps w:val="false"/>
          <w:sz w:val="24"/>
        </w:rPr>
        <w:t>. On the Closing Date, the Company shall consummate the Repurchase Transaction by purchasing the Existing Warrants from the Holder for a cash amount equal to $1,500,000.00 (the “</w:t>
      </w:r>
      <w:r>
        <w:rPr>
          <w:rFonts w:ascii="Times New Roman" w:hAnsi="Times New Roman"/>
          <w:b/>
          <w:caps w:val="false"/>
          <w:smallCaps w:val="false"/>
          <w:sz w:val="24"/>
        </w:rPr>
        <w:t>Warrant Repurchase Price</w:t>
      </w:r>
      <w:r>
        <w:rPr>
          <w:rFonts w:ascii="Times New Roman" w:hAnsi="Times New Roman"/>
          <w:caps w:val="false"/>
          <w:smallCaps w:val="false"/>
          <w:sz w:val="24"/>
        </w:rPr>
        <w:t>”). The Warrant Repurchase Price shall be paid, in U.S. dollars and immediately available funds, by wire transfer in accordance with the wire instructions set forth on the signature page of the Holder attached hereto (or such other instructions delivered by the Holder to the Company in writing on or prior thereto). Upon payment of the Warrant Repurchase Price to the Holder in accordance herewith (such date of payment, the “</w:t>
      </w:r>
      <w:r>
        <w:rPr>
          <w:rFonts w:ascii="Times New Roman" w:hAnsi="Times New Roman"/>
          <w:b/>
          <w:caps w:val="false"/>
          <w:smallCaps w:val="false"/>
          <w:sz w:val="24"/>
        </w:rPr>
        <w:t>Warrant Repayment Date</w:t>
      </w:r>
      <w:r>
        <w:rPr>
          <w:rFonts w:ascii="Times New Roman" w:hAnsi="Times New Roman"/>
          <w:caps w:val="false"/>
          <w:smallCaps w:val="false"/>
          <w:sz w:val="24"/>
        </w:rPr>
        <w:t>”), the Existing Warrants shall be cancelled, extinguished in full and shall be of no further force or effect (the “</w:t>
      </w:r>
      <w:r>
        <w:rPr>
          <w:rFonts w:ascii="Times New Roman" w:hAnsi="Times New Roman"/>
          <w:b/>
          <w:caps w:val="false"/>
          <w:smallCaps w:val="false"/>
          <w:sz w:val="24"/>
        </w:rPr>
        <w:t>Cancellations</w:t>
      </w:r>
      <w:r>
        <w:rPr>
          <w:rFonts w:ascii="Times New Roman" w:hAnsi="Times New Roman"/>
          <w:caps w:val="false"/>
          <w:smallCaps w:val="false"/>
          <w:sz w:val="24"/>
        </w:rPr>
        <w:t>”). For the avoidance of doubt, the Existing Warrants shall include any warrants issued in replacement of, substitution for, or exchange for any Existing Warrant, and all rights arising from any adjustment thereto, including any adjustment to the exercise price or number of Warrant Shares resulting from any reverse stock split or other recapitalization occurring prior to the Warrant Repayment Date. Upon payment of the Warrant Repurchase Price, all such warrants and rights, including any accrued, contingent or future adjustment rights, shall be irrevocably cancelled and extinguished without further consideration.</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1.2    </w:t>
      </w:r>
      <w:r>
        <w:rPr>
          <w:rFonts w:ascii="Times New Roman" w:hAnsi="Times New Roman"/>
          <w:caps w:val="false"/>
          <w:smallCaps w:val="false"/>
          <w:sz w:val="24"/>
          <w:u w:val="single"/>
        </w:rPr>
        <w:t>Participation Right</w:t>
      </w:r>
      <w:r>
        <w:rPr>
          <w:rFonts w:ascii="Times New Roman" w:hAnsi="Times New Roman"/>
          <w:caps w:val="false"/>
          <w:smallCaps w:val="false"/>
          <w:sz w:val="24"/>
        </w:rPr>
        <w:t>. Notwithstanding anything in Section 1.1 to the contrary, the Company shall not consummate the Public Offering unless the Company shall have first complied with this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1.2.1    Between the time period of 4:00 pm (New York City time) and 5:00 pm (New York City time) on the Trading Day immediately prior to the Trading Day of the expected announcement of the Public Offering (or, if the Trading Day of the expected announcement of the Public Offering is the first Trading Day following a holiday or a weekend (including a holiday weekend), between the time period of 4:00 pm (New York City time) on the Trading Day immediately prior to such holiday or weekend and 2:00 pm (New York City time) on the day immediately prior to the Trading Day of the expected announcement of the Public Offering), the Company shall deliver to the Holder a written notice (each such notice, a “</w:t>
      </w:r>
      <w:r>
        <w:rPr>
          <w:rFonts w:ascii="Times New Roman" w:hAnsi="Times New Roman"/>
          <w:b/>
          <w:caps w:val="false"/>
          <w:smallCaps w:val="false"/>
          <w:sz w:val="24"/>
        </w:rPr>
        <w:t>Pre-Notice</w:t>
      </w:r>
      <w:r>
        <w:rPr>
          <w:rFonts w:ascii="Times New Roman" w:hAnsi="Times New Roman"/>
          <w:caps w:val="false"/>
          <w:smallCaps w:val="false"/>
          <w:sz w:val="24"/>
        </w:rPr>
        <w:t>”), which Pre-Notice shall not contain any information (including, without limitation, material, non-public information) other than: (A) if the proposed Offer Notice (as defined below) constitutes or contains material, non-public information, a statement asking whether the Holder is willing to accept material non-public information or (B) if the proposed Offer Notice does not constitute or contain material, non-public information, (x) a statement that the Company proposes or intends to effect the Public Offering, (y) a statement that the statement in clause (x) above does not constitute material, non-public information and (z) a statement informing the Holder that it is entitled to receive an Offer Notice (as defined below) with respect to the Public Offering upon its written request. Upon the written request of the Holder prior to 6:00 pm (New York City time) on the Trading Day in which such Pre-Notice is delivered to the Holder, and only upon a written request by the Holder, the Company shall promptly, but no later than 7:00 pm on the date of such request, deliver to the Holder an irrevocable written notice (the “</w:t>
      </w:r>
      <w:r>
        <w:rPr>
          <w:rFonts w:ascii="Times New Roman" w:hAnsi="Times New Roman"/>
          <w:b/>
          <w:caps w:val="false"/>
          <w:smallCaps w:val="false"/>
          <w:sz w:val="24"/>
        </w:rPr>
        <w:t>Offer Notice</w:t>
      </w:r>
      <w:r>
        <w:rPr>
          <w:rFonts w:ascii="Times New Roman" w:hAnsi="Times New Roman"/>
          <w:caps w:val="false"/>
          <w:smallCaps w:val="false"/>
          <w:sz w:val="24"/>
        </w:rPr>
        <w:t>”) of granting the Holder the right to participate in the Public Offering (the “</w:t>
      </w:r>
      <w:r>
        <w:rPr>
          <w:rFonts w:ascii="Times New Roman" w:hAnsi="Times New Roman"/>
          <w:b/>
          <w:caps w:val="false"/>
          <w:smallCaps w:val="false"/>
          <w:sz w:val="24"/>
        </w:rPr>
        <w:t>Offer</w:t>
      </w:r>
      <w:r>
        <w:rPr>
          <w:rFonts w:ascii="Times New Roman" w:hAnsi="Times New Roman"/>
          <w:caps w:val="false"/>
          <w:smallCaps w:val="false"/>
          <w:sz w:val="24"/>
        </w:rPr>
        <w:t>”) to acquire all, or any part, of the Available Amount (as defined below) of the securities being offered (the “</w:t>
      </w:r>
      <w:r>
        <w:rPr>
          <w:rFonts w:ascii="Times New Roman" w:hAnsi="Times New Roman"/>
          <w:b/>
          <w:caps w:val="false"/>
          <w:smallCaps w:val="false"/>
          <w:sz w:val="24"/>
        </w:rPr>
        <w:t>Offered Securities</w:t>
      </w:r>
      <w:r>
        <w:rPr>
          <w:rFonts w:ascii="Times New Roman" w:hAnsi="Times New Roman"/>
          <w:caps w:val="false"/>
          <w:smallCaps w:val="false"/>
          <w:sz w:val="24"/>
        </w:rPr>
        <w:t>”) in the Public Offering (the “</w:t>
      </w:r>
      <w:r>
        <w:rPr>
          <w:rFonts w:ascii="Times New Roman" w:hAnsi="Times New Roman"/>
          <w:b/>
          <w:caps w:val="false"/>
          <w:smallCaps w:val="false"/>
          <w:sz w:val="24"/>
        </w:rPr>
        <w:t>Participation</w:t>
      </w:r>
      <w:r>
        <w:rPr>
          <w:rFonts w:ascii="Times New Roman" w:hAnsi="Times New Roman"/>
          <w:caps w:val="false"/>
          <w:smallCaps w:val="false"/>
          <w:sz w:val="24"/>
        </w:rPr>
        <w:t>”) as elected by the Holder,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securities to the Holder in an aggregate amount not less than $6 million (or such lesser amount as the Company, in its sole option, may specify in such Offer Notice (such minimum amount require for the Holder to participate in the Subsequent Placement, the “</w:t>
      </w:r>
      <w:r>
        <w:rPr>
          <w:rFonts w:ascii="Times New Roman" w:hAnsi="Times New Roman"/>
          <w:b/>
          <w:caps w:val="false"/>
          <w:smallCaps w:val="false"/>
          <w:sz w:val="24"/>
        </w:rPr>
        <w:t>Minimum Required Amount</w:t>
      </w:r>
      <w:r>
        <w:rPr>
          <w:rFonts w:ascii="Times New Roman" w:hAnsi="Times New Roman"/>
          <w:caps w:val="false"/>
          <w:smallCaps w:val="false"/>
          <w:sz w:val="24"/>
        </w:rPr>
        <w:t>”) in accordance with the terms of the Offer (the “</w:t>
      </w:r>
      <w:r>
        <w:rPr>
          <w:rFonts w:ascii="Times New Roman" w:hAnsi="Times New Roman"/>
          <w:b/>
          <w:caps w:val="false"/>
          <w:smallCaps w:val="false"/>
          <w:sz w:val="24"/>
        </w:rPr>
        <w:t>Available Amount</w:t>
      </w:r>
      <w:r>
        <w:rPr>
          <w:rFonts w:ascii="Times New Roman" w:hAnsi="Times New Roman"/>
          <w:caps w:val="false"/>
          <w:smallCaps w:val="false"/>
          <w:sz w:val="24"/>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1.2.2    To accept an Offer, in whole or in part, the Holder must deliver a written notice to the Company prior to 9:00 pm (New York City time) on the date on which the Offer Notice is delivered to the Holder (the “</w:t>
      </w:r>
      <w:r>
        <w:rPr>
          <w:rFonts w:ascii="Times New Roman" w:hAnsi="Times New Roman"/>
          <w:b/>
          <w:caps w:val="false"/>
          <w:smallCaps w:val="false"/>
          <w:sz w:val="24"/>
        </w:rPr>
        <w:t>Offer Period</w:t>
      </w:r>
      <w:r>
        <w:rPr>
          <w:rFonts w:ascii="Times New Roman" w:hAnsi="Times New Roman"/>
          <w:caps w:val="false"/>
          <w:smallCaps w:val="false"/>
          <w:sz w:val="24"/>
        </w:rPr>
        <w:t>”), setting forth the portion of the Holder’s Available Amount that the Holder elects to purchase (not less than the Minimum Required Amount) (in either case, the “</w:t>
      </w:r>
      <w:r>
        <w:rPr>
          <w:rFonts w:ascii="Times New Roman" w:hAnsi="Times New Roman"/>
          <w:b/>
          <w:caps w:val="false"/>
          <w:smallCaps w:val="false"/>
          <w:sz w:val="24"/>
        </w:rPr>
        <w:t>Notice of Acceptance</w:t>
      </w:r>
      <w:r>
        <w:rPr>
          <w:rFonts w:ascii="Times New Roman" w:hAnsi="Times New Roman"/>
          <w:caps w:val="false"/>
          <w:smallCaps w:val="false"/>
          <w:sz w:val="24"/>
        </w:rPr>
        <w:t>”). Notwithstanding the foregoing, if the Company desires to modify or amend the terms and conditions of the Offer prior to the expiration of the Offer Period, the Company may deliver to the Holder a new Offer Notice and the Offer Period shall expire on 6:30 am (New York City time) on the Trading Day following the date after the Holder’s receipt of such new Offer Notice.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1.2.3    The Company shall have five (5) Business Days from the expiration of the Offer Period above (A) to offer, issue, sell or exchange all or any part of such Offered Securities as to which a Notice of Acceptance has not been given by the Holder and/or proposed to be sold in the Public Offering as set forth in the Offer Notice (the “</w:t>
      </w:r>
      <w:r>
        <w:rPr>
          <w:rFonts w:ascii="Times New Roman" w:hAnsi="Times New Roman"/>
          <w:b/>
          <w:caps w:val="false"/>
          <w:smallCaps w:val="false"/>
          <w:sz w:val="24"/>
        </w:rPr>
        <w:t>Remaining Offering Securities</w:t>
      </w:r>
      <w:r>
        <w:rPr>
          <w:rFonts w:ascii="Times New Roman" w:hAnsi="Times New Roman"/>
          <w:caps w:val="false"/>
          <w:smallCaps w:val="false"/>
          <w:sz w:val="24"/>
        </w:rPr>
        <w:t>”) pursuant to a definitive agreement(s) (the “</w:t>
      </w:r>
      <w:r>
        <w:rPr>
          <w:rFonts w:ascii="Times New Roman" w:hAnsi="Times New Roman"/>
          <w:b/>
          <w:caps w:val="false"/>
          <w:smallCaps w:val="false"/>
          <w:sz w:val="24"/>
        </w:rPr>
        <w:t>Public Offering Agreement</w:t>
      </w:r>
      <w:r>
        <w:rPr>
          <w:rFonts w:ascii="Times New Roman" w:hAnsi="Times New Roman"/>
          <w:caps w:val="false"/>
          <w:smallCaps w:val="false"/>
          <w:sz w:val="24"/>
        </w:rPr>
        <w:t>”), but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Public Offering Agreement, and (y) either (I) the consummation of the transactions contemplated by such Public Offering Agreement or (II) the termination of such Public Offering Agreement, which shall be filed with the SEC on a Current Report on Form 8-K with such Public Offering Agreement and any documents contemplated therein filed as exhibits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1.2.4    In the event the Company shall propose to sell less than all the Remaining Offering Securities (any such sale to be in the manner and on the terms specified in Section 1.2.3 above), then the Holder may, at its sole option and in its sole discretion, withdraw its Notice of Acceptance or reduce the number or amount of the Offered Securities specified in its Notice of Acceptance to an amount that shall be not less than the number or amount of the Offered Securities that the Holder elected to purchase pursuant to Section 1.2.2 above multiplied by a fraction, (i) the numerator of which shall be the number or amount of Offered Securities the Company actually proposes to issue, sell or exchange (including Offered Securities to be issued or sold to the Holder pursuant to this Section 1.2 prior to such reduction) and (ii) the denominator of which shall be the original amount of the Offered Securities. In the event that the Holder so elects to reduce the number or amount of Offered Securities specified in its Notice of Acceptance, the Company may not issue, sell or exchange more than the reduced number or amount of the Offered Securities unless and until such securities have again been offered to the Holder in accordance with Section 1.2.1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1.2.5    Upon the closing of the issuance, sale or exchange of all or less than all of the Remaining Offering Securities, the Holder shall acquire from the Company, and the Company shall issue to the Holder, the number or amount of Offered Securities specified in its Notice of Acceptance, as reduced pursuant to Section 1.2.4 above if the Holder has so elected, upon the terms and conditions specified in the Offer. The purchase by the Holder of any Offered Securities is subject in all cases to the preparation, execution and delivery by the Company and the Holder of a separate purchase agreement relating to such Offered Securities reasonably satisfactory in form and substance to the Holder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1.2.6    Any Offered Securities not acquired by the Holder or other Persons in accordance with this Section 1.2 may not be issued, sold or exchanged until they are again offered to the Holder under the procedures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1.2.7    The Company and the Holder agree that if the Holder elects to participate in the Offer, neither the Public Offering Agreement with respect to such Offer nor any other transaction documents related thereto (collectively, the “</w:t>
      </w:r>
      <w:r>
        <w:rPr>
          <w:rFonts w:ascii="Times New Roman" w:hAnsi="Times New Roman"/>
          <w:b/>
          <w:caps w:val="false"/>
          <w:smallCaps w:val="false"/>
          <w:sz w:val="24"/>
        </w:rPr>
        <w:t>Public Offering Documents</w:t>
      </w:r>
      <w:r>
        <w:rPr>
          <w:rFonts w:ascii="Times New Roman" w:hAnsi="Times New Roman"/>
          <w:caps w:val="false"/>
          <w:smallCaps w:val="false"/>
          <w:sz w:val="24"/>
        </w:rPr>
        <w:t xml:space="preserve">”) shall include, unless otherwise required or prohibited (as the case may be) by the rules or regulations of the Principal Market or the staff of the Principal Market, (w) any unreasonable representation, warranty, covenant, term or other provision, (x) any representation, warranty, covenant, term or other provision that is less favorable to the Holder than as set forth in the Securities Purchase Agreement, </w:t>
      </w:r>
      <w:r>
        <w:rPr>
          <w:rFonts w:ascii="Times New Roman" w:hAnsi="Times New Roman"/>
          <w:i/>
          <w:caps w:val="false"/>
          <w:smallCaps w:val="false"/>
          <w:sz w:val="24"/>
        </w:rPr>
        <w:t xml:space="preserve">mutatis mutandis, </w:t>
      </w:r>
      <w:r>
        <w:rPr>
          <w:rFonts w:ascii="Times New Roman" w:hAnsi="Times New Roman"/>
          <w:caps w:val="false"/>
          <w:smallCaps w:val="false"/>
          <w:sz w:val="24"/>
        </w:rPr>
        <w:t xml:space="preserve">(y) if the Offered Securities to be acquired by the Holder would result in the Holder’s (together with its Attribution Parties (as defined in the Existing Note)) beneficial ownership of Common Stock to exceed the Maximum Percentage (as defined in the Existing Note), the Holder shall be permitted to receive Offered Securities (whether as a Convertible Security (as defined in the Existing Note), Option (as defined in the Existing Note) or otherwise) with a beneficial ownership limitation in the form of Section 3(d) of the Existing Note, </w:t>
      </w:r>
      <w:r>
        <w:rPr>
          <w:rFonts w:ascii="Times New Roman" w:hAnsi="Times New Roman"/>
          <w:i/>
          <w:caps w:val="false"/>
          <w:smallCaps w:val="false"/>
          <w:sz w:val="24"/>
        </w:rPr>
        <w:t xml:space="preserve">mutatis </w:t>
      </w:r>
      <w:r>
        <w:rPr>
          <w:rFonts w:ascii="Times New Roman" w:hAnsi="Times New Roman"/>
          <w:caps w:val="false"/>
          <w:smallCaps w:val="false"/>
          <w:sz w:val="24"/>
        </w:rPr>
        <w:t>mutandis or (z) any representation, warranty, covenant, term or other provision whereby the Holder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1.2.8    Notwithstanding anything to the contrary in this Section 1.2 and unless otherwise agreed to by the Holder, the Company shall either confirm in writing to the Holder that the transaction with respect to the Public Offering has been abandoned or shall publicly disclose its intention to issue the Offered Securities, in either case, in such a manner such that the Holder will not be in possession of any material, non-public information, by the fifth (5th) Business Day following delivery of the Offer Notice. If by such fifth (5th) Business Day, no public disclosure regarding a transaction with respect to the Offered Securities has been made, and no notice regarding the abandonment of such transaction has been received by the Holder, such transaction shall be deemed to have been abandoned and the Holder shall not be in possession of any material, non-public information with respect to the Company or any of its Subsidiaries. If the transaction is deemed abandoned under the preceding sentence and the Company later decides to pursue a transaction with respect to the Offered Securities, the Company shall provide the Holder with another Offer Notice and the Holder will again have the right of participation set forth in this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1.3    </w:t>
      </w:r>
      <w:r>
        <w:rPr>
          <w:rFonts w:ascii="Times New Roman" w:hAnsi="Times New Roman"/>
          <w:caps w:val="false"/>
          <w:smallCaps w:val="false"/>
          <w:sz w:val="24"/>
          <w:u w:val="single"/>
        </w:rPr>
        <w:t>Standstill</w:t>
      </w:r>
      <w:r>
        <w:rPr>
          <w:rFonts w:ascii="Times New Roman" w:hAnsi="Times New Roman"/>
          <w:caps w:val="false"/>
          <w:smallCaps w:val="false"/>
          <w:sz w:val="24"/>
        </w:rPr>
        <w:t>. During the eighteen (18) Trading Day period commencing on, and including, the public filing with the SEC of the registration statement with respect to the Public Offering, the Holder shall not, directly or indirectly, (i) deliver a Conversion Notice (as defined in the Existing Note) or otherwise convert, or request or effect the conversion of all, or any portion, of the Existing Note, (ii) request, accept or effect the issuance of any Conversion Shares (as defined in the Existing Note) with respect thereto or (iii) engage in any short sale, hedging transaction, or coordinated disposition of Conversion Shares (the “</w:t>
      </w:r>
      <w:r>
        <w:rPr>
          <w:rFonts w:ascii="Times New Roman" w:hAnsi="Times New Roman"/>
          <w:b/>
          <w:caps w:val="false"/>
          <w:smallCaps w:val="false"/>
          <w:sz w:val="24"/>
        </w:rPr>
        <w:t>Standstill</w:t>
      </w:r>
      <w:r>
        <w:rPr>
          <w:rFonts w:ascii="Times New Roman" w:hAnsi="Times New Roman"/>
          <w:caps w:val="false"/>
          <w:smallCaps w:val="false"/>
          <w:sz w:val="24"/>
        </w:rPr>
        <w:t>”). For the avoidance of doubt, nothing in this Section 1.3 shall limit the Holder’s rights upon the occurrence of an Event of Default under the Existing Note or the Transaction Documents.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908" w:type="dxa"/>
        <w:jc w:val="left"/>
        <w:tblInd w:w="0" w:type="dxa"/>
        <w:tblLayout w:type="fixed"/>
        <w:tblCellMar>
          <w:top w:w="28" w:type="dxa"/>
          <w:left w:w="28" w:type="dxa"/>
          <w:bottom w:w="28" w:type="dxa"/>
          <w:right w:w="28" w:type="dxa"/>
        </w:tblCellMar>
      </w:tblPr>
      <w:tblGrid>
        <w:gridCol w:w="161"/>
        <w:gridCol w:w="286"/>
        <w:gridCol w:w="246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2.</w:t>
            </w:r>
          </w:p>
        </w:tc>
        <w:tc>
          <w:tcPr>
            <w:tcW w:w="2461" w:type="dxa"/>
            <w:tcBorders/>
            <w:vAlign w:val="center"/>
          </w:tcPr>
          <w:p>
            <w:pPr>
              <w:pStyle w:val="TableContents"/>
              <w:bidi w:val="0"/>
              <w:spacing w:before="0" w:after="0"/>
              <w:ind w:left="0" w:right="0" w:hanging="0"/>
              <w:jc w:val="left"/>
              <w:rPr>
                <w:rFonts w:ascii="Times New Roman" w:hAnsi="Times New Roman"/>
                <w:b/>
                <w:caps w:val="false"/>
                <w:smallCaps w:val="false"/>
                <w:sz w:val="24"/>
                <w:u w:val="single"/>
              </w:rPr>
            </w:pPr>
            <w:r>
              <w:rPr>
                <w:rFonts w:ascii="Times New Roman" w:hAnsi="Times New Roman"/>
                <w:b/>
                <w:caps w:val="false"/>
                <w:smallCaps w:val="false"/>
                <w:sz w:val="24"/>
                <w:u w:val="single"/>
              </w:rPr>
              <w:t>Ratifications; Waivers.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2.1    </w:t>
      </w:r>
      <w:r>
        <w:rPr>
          <w:rFonts w:ascii="Times New Roman" w:hAnsi="Times New Roman"/>
          <w:caps w:val="false"/>
          <w:smallCaps w:val="false"/>
          <w:sz w:val="24"/>
          <w:u w:val="single"/>
        </w:rPr>
        <w:t>Ratifications</w:t>
      </w:r>
      <w:r>
        <w:rPr>
          <w:rFonts w:ascii="Times New Roman" w:hAnsi="Times New Roman"/>
          <w:caps w:val="false"/>
          <w:smallCaps w:val="false"/>
          <w:sz w:val="24"/>
        </w:rPr>
        <w:t>. Except as otherwise expressly provided herein, the Securities Purchase Agreement, and each other Transaction Document, is, and shall continue to be, in full force and effect and is hereby ratified and confirmed in all respects, except that on and after the date hereof: (i) all references in the Securities Purchase Agreement to “this Agreement”, “hereto”, “hereof”, “hereunder” or words of like import referring to the Securities Purchase Agreement shall mean the Securities Purchase Agreement as amended by this Agreement, and (ii) all references in the other Transaction Documents to the “Securities Purchase Agreement”, “thereto”, “thereof”, “thereunder” or words of like import referring to the Securities Purchase Agreement shall mean the Securities Purchase Agreement as amended by this Agreement. Except for the waivers in Section 2.2 below, nothing herein shall amend, modify or waive any term or condition of the Existing Note, which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2.2    </w:t>
      </w:r>
      <w:r>
        <w:rPr>
          <w:rFonts w:ascii="Times New Roman" w:hAnsi="Times New Roman"/>
          <w:caps w:val="false"/>
          <w:smallCaps w:val="false"/>
          <w:sz w:val="24"/>
          <w:u w:val="single"/>
        </w:rPr>
        <w:t>Limited Waivers</w:t>
      </w:r>
      <w:r>
        <w:rPr>
          <w:rFonts w:ascii="Times New Roman" w:hAnsi="Times New Roman"/>
          <w:caps w:val="false"/>
          <w:smallCaps w:val="false"/>
          <w:sz w:val="24"/>
        </w:rPr>
        <w:t>. Effective as of the Warrant Repayment Date, the Holder hereby waives, in part, the Transaction Documents (as amended hereby) (the “</w:t>
      </w:r>
      <w:r>
        <w:rPr>
          <w:rFonts w:ascii="Times New Roman" w:hAnsi="Times New Roman"/>
          <w:b/>
          <w:caps w:val="false"/>
          <w:smallCaps w:val="false"/>
          <w:sz w:val="24"/>
        </w:rPr>
        <w:t>Waivers</w:t>
      </w:r>
      <w:r>
        <w:rPr>
          <w:rFonts w:ascii="Times New Roman" w:hAnsi="Times New Roman"/>
          <w:caps w:val="false"/>
          <w:smallCaps w:val="false"/>
          <w:sz w:val="24"/>
        </w:rPr>
        <w:t>”) such that (v) effective as of the date of issuance of the Evergreen Note (as defined below), the definition of “Permitted Indebtedness” in the Existing Note shall include that convertible promissory note (as in effect as of the date hereof, the “</w:t>
      </w:r>
      <w:r>
        <w:rPr>
          <w:rFonts w:ascii="Times New Roman" w:hAnsi="Times New Roman"/>
          <w:b/>
          <w:caps w:val="false"/>
          <w:smallCaps w:val="false"/>
          <w:sz w:val="24"/>
        </w:rPr>
        <w:t>Evergreen Note</w:t>
      </w:r>
      <w:r>
        <w:rPr>
          <w:rFonts w:ascii="Times New Roman" w:hAnsi="Times New Roman"/>
          <w:caps w:val="false"/>
          <w:smallCaps w:val="false"/>
          <w:sz w:val="24"/>
        </w:rPr>
        <w:t>”) issued to Evergreen Capital Management LLC (or an affiliate thereof) prior to the date hereof by the Company pursuant to that certain Securities Purchase Agreement, dated September 4, 2026, as in effect as of the date hereof, (w) the Public Offering shall be an “Excluded Security” as used in the Transaction Documents, (x) the Public Offering shall not be a “Variable Rate Transaction” (as defined in the Transaction Documents) or a “Variable Price Transaction” (as defined in the Transaction Documents), (y) waives Section 7(d) of the Existing Note, which shall have no further force or effect and (z) waives Section 4(s) of the Securities Purchase Agreement, which shall have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4"/>
        </w:rPr>
      </w:pPr>
      <w:r>
        <w:rPr>
          <w:rFonts w:ascii="Times New Roman" w:hAnsi="Times New Roman"/>
          <w:caps w:val="false"/>
          <w:smallCaps w:val="false"/>
          <w:sz w:val="24"/>
        </w:rPr>
        <w:t>3.    </w:t>
      </w:r>
      <w:r>
        <w:rPr>
          <w:rFonts w:ascii="Times New Roman" w:hAnsi="Times New Roman"/>
          <w:b/>
          <w:caps w:val="false"/>
          <w:smallCaps w:val="false"/>
          <w:sz w:val="24"/>
          <w:u w:val="single"/>
        </w:rPr>
        <w:t>The Closing</w:t>
      </w:r>
      <w:r>
        <w:rPr>
          <w:rFonts w:ascii="Times New Roman" w:hAnsi="Times New Roman"/>
          <w:caps w:val="false"/>
          <w:smallCaps w:val="false"/>
          <w:sz w:val="24"/>
        </w:rPr>
        <w:t>. Subject to the conditions set forth in Section 4 below, the Repurchase Transaction and the Cancellations (collectively, the “</w:t>
      </w:r>
      <w:r>
        <w:rPr>
          <w:rFonts w:ascii="Times New Roman" w:hAnsi="Times New Roman"/>
          <w:b/>
          <w:caps w:val="false"/>
          <w:smallCaps w:val="false"/>
          <w:sz w:val="24"/>
        </w:rPr>
        <w:t>Transactions</w:t>
      </w:r>
      <w:r>
        <w:rPr>
          <w:rFonts w:ascii="Times New Roman" w:hAnsi="Times New Roman"/>
          <w:caps w:val="false"/>
          <w:smallCaps w:val="false"/>
          <w:sz w:val="24"/>
        </w:rPr>
        <w:t>”) shall take place via the electronic exchange of documents, securities, and signatures, concurrently with the time of consummation of the Public Offering (the “</w:t>
      </w:r>
      <w:r>
        <w:rPr>
          <w:rFonts w:ascii="Times New Roman" w:hAnsi="Times New Roman"/>
          <w:b/>
          <w:caps w:val="false"/>
          <w:smallCaps w:val="false"/>
          <w:sz w:val="24"/>
        </w:rPr>
        <w:t>Closing</w:t>
      </w:r>
      <w:r>
        <w:rPr>
          <w:rFonts w:ascii="Times New Roman" w:hAnsi="Times New Roman"/>
          <w:caps w:val="false"/>
          <w:smallCaps w:val="false"/>
          <w:sz w:val="24"/>
        </w:rPr>
        <w:t>” and the “</w:t>
      </w:r>
      <w:r>
        <w:rPr>
          <w:rFonts w:ascii="Times New Roman" w:hAnsi="Times New Roman"/>
          <w:b/>
          <w:caps w:val="false"/>
          <w:smallCaps w:val="false"/>
          <w:sz w:val="24"/>
        </w:rPr>
        <w:t>Closing Date</w:t>
      </w:r>
      <w:r>
        <w:rPr>
          <w:rFonts w:ascii="Times New Roman" w:hAnsi="Times New Roman"/>
          <w:caps w:val="false"/>
          <w:smallCaps w:val="false"/>
          <w:sz w:val="24"/>
        </w:rPr>
        <w:t>”).</w:t>
      </w:r>
    </w:p>
    <w:p>
      <w:pPr>
        <w:pStyle w:val="TextBody"/>
        <w:bidi w:val="0"/>
        <w:spacing w:before="0" w:after="0"/>
        <w:ind w:left="0" w:right="0" w:hanging="0"/>
        <w:jc w:val="both"/>
        <w:rPr>
          <w:caps w:val="false"/>
          <w:smallCaps w:val="false"/>
        </w:rPr>
      </w:pPr>
      <w:r>
        <w:rPr>
          <w:caps w:val="false"/>
          <w:smallCaps w:val="false"/>
        </w:rPr>
        <w:t> </w:t>
      </w:r>
    </w:p>
    <w:tbl>
      <w:tblPr>
        <w:tblW w:w="4048" w:type="dxa"/>
        <w:jc w:val="left"/>
        <w:tblInd w:w="0" w:type="dxa"/>
        <w:tblLayout w:type="fixed"/>
        <w:tblCellMar>
          <w:top w:w="28" w:type="dxa"/>
          <w:left w:w="28" w:type="dxa"/>
          <w:bottom w:w="28" w:type="dxa"/>
          <w:right w:w="28" w:type="dxa"/>
        </w:tblCellMar>
      </w:tblPr>
      <w:tblGrid>
        <w:gridCol w:w="161"/>
        <w:gridCol w:w="286"/>
        <w:gridCol w:w="360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4.</w:t>
            </w:r>
          </w:p>
        </w:tc>
        <w:tc>
          <w:tcPr>
            <w:tcW w:w="3601"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u w:val="single"/>
              </w:rPr>
              <w:t>Closing Conditions to the Closing</w:t>
            </w:r>
            <w:r>
              <w:rPr>
                <w:rFonts w:ascii="Times New Roman" w:hAnsi="Times New Roman"/>
                <w:caps w:val="false"/>
                <w:smallCaps w:val="false"/>
                <w:sz w:val="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4.1    </w:t>
      </w:r>
      <w:r>
        <w:rPr>
          <w:rFonts w:ascii="Times New Roman" w:hAnsi="Times New Roman"/>
          <w:caps w:val="false"/>
          <w:smallCaps w:val="false"/>
          <w:sz w:val="24"/>
          <w:u w:val="single"/>
        </w:rPr>
        <w:t>Conditions to the Holder’s Obligations at the Closing</w:t>
      </w:r>
      <w:r>
        <w:rPr>
          <w:rFonts w:ascii="Times New Roman" w:hAnsi="Times New Roman"/>
          <w:b/>
          <w:caps w:val="false"/>
          <w:smallCaps w:val="false"/>
          <w:sz w:val="24"/>
        </w:rPr>
        <w:t xml:space="preserve">. </w:t>
      </w:r>
      <w:r>
        <w:rPr>
          <w:rFonts w:ascii="Times New Roman" w:hAnsi="Times New Roman"/>
          <w:caps w:val="false"/>
          <w:smallCaps w:val="false"/>
          <w:sz w:val="24"/>
        </w:rPr>
        <w:t>The obligation of the Holder to consummate the Transactions and grant the Waivers is subject to the fulfillment (or waiver, at the sole option of the Holder), to the Holder’s reasonable satisfaction, prior to or at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4.1.1    </w:t>
      </w:r>
      <w:r>
        <w:rPr>
          <w:rFonts w:ascii="Times New Roman" w:hAnsi="Times New Roman"/>
          <w:caps w:val="false"/>
          <w:smallCaps w:val="false"/>
          <w:sz w:val="24"/>
          <w:u w:val="single"/>
        </w:rPr>
        <w:t>Representations and Warranties</w:t>
      </w:r>
      <w:r>
        <w:rPr>
          <w:rFonts w:ascii="Times New Roman" w:hAnsi="Times New Roman"/>
          <w:caps w:val="false"/>
          <w:smallCaps w:val="false"/>
          <w:sz w:val="24"/>
        </w:rPr>
        <w:t>. Each and every representation and warranty of the Company set forth herein shall be true and correct in all material respects (except where qualified by materiality or material adverse effect, which shall be true and correct in all respect)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by this Agreement to be performed, satisfied or complied with by the Company at or prior to the Closing Date. The Holder shall have received a certificate, duly executed by the Chief Executive Officer of the Company, dated as of the Closing Date, to the foregoing effect and as to such other matters as may be reasonably requested by the Holder in the form acceptable to the Holder.</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4.1.2    </w:t>
      </w:r>
      <w:r>
        <w:rPr>
          <w:rFonts w:ascii="Times New Roman" w:hAnsi="Times New Roman"/>
          <w:caps w:val="false"/>
          <w:smallCaps w:val="false"/>
          <w:sz w:val="24"/>
          <w:u w:val="single"/>
        </w:rPr>
        <w:t>No Actions</w:t>
      </w:r>
      <w:r>
        <w:rPr>
          <w:rFonts w:ascii="Times New Roman" w:hAnsi="Times New Roman"/>
          <w:caps w:val="false"/>
          <w:smallCaps w:val="false"/>
          <w:sz w:val="24"/>
        </w:rPr>
        <w:t>. No action, proceeding, investigation, regulation, or legislation shall have been instituted, threatened, or proposed before any court, governmental agency or authority or legislative body to enjoin, restrain, prohibit or obtain substantial damages in respect of, this Agreement or the consummation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4.1.3    </w:t>
      </w:r>
      <w:r>
        <w:rPr>
          <w:rFonts w:ascii="Times New Roman" w:hAnsi="Times New Roman"/>
          <w:caps w:val="false"/>
          <w:smallCaps w:val="false"/>
          <w:sz w:val="24"/>
          <w:u w:val="single"/>
        </w:rPr>
        <w:t>Proceedings and Documents</w:t>
      </w:r>
      <w:r>
        <w:rPr>
          <w:rFonts w:ascii="Times New Roman" w:hAnsi="Times New Roman"/>
          <w:caps w:val="false"/>
          <w:smallCaps w:val="false"/>
          <w:sz w:val="24"/>
        </w:rPr>
        <w:t>. All proceedings in connection with the transactions contemplated hereby and all documents and instruments incident to such transactions shall be satisfactory in substance and form to the Holder, and the Holder shall have received all such counterpart originals or certified or other copies of such documents as they may reasonably request. The Company shall have obtained all governmental, regulatory or third party consents and approvals, if any, necessary for the Transactions, including without limitation, those required by the Principal Market (defined hereafter),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4.1.4    </w:t>
      </w:r>
      <w:r>
        <w:rPr>
          <w:rFonts w:ascii="Times New Roman" w:hAnsi="Times New Roman"/>
          <w:caps w:val="false"/>
          <w:smallCaps w:val="false"/>
          <w:sz w:val="24"/>
          <w:u w:val="single"/>
        </w:rPr>
        <w:t>No Event of Default</w:t>
      </w:r>
      <w:r>
        <w:rPr>
          <w:rFonts w:ascii="Times New Roman" w:hAnsi="Times New Roman"/>
          <w:caps w:val="false"/>
          <w:smallCaps w:val="false"/>
          <w:sz w:val="24"/>
        </w:rPr>
        <w:t>. As of the Closing Date, no Event of Default (as defined in the Existing Note) shall have occurred and be continuing (unless waived in writing by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4.1.5    </w:t>
      </w:r>
      <w:r>
        <w:rPr>
          <w:rFonts w:ascii="Times New Roman" w:hAnsi="Times New Roman"/>
          <w:caps w:val="false"/>
          <w:smallCaps w:val="false"/>
          <w:sz w:val="24"/>
          <w:u w:val="single"/>
        </w:rPr>
        <w:t>Listing</w:t>
      </w:r>
      <w:r>
        <w:rPr>
          <w:rFonts w:ascii="Times New Roman" w:hAnsi="Times New Roman"/>
          <w:caps w:val="false"/>
          <w:smallCaps w:val="false"/>
          <w:sz w:val="24"/>
        </w:rPr>
        <w:t>. As of the Closing Date, the Common Stock (I) shall be designated for quotation or listed on an Eligible Market (as defined in the Existing Note) and (II) shall not have been suspended.</w:t>
      </w:r>
    </w:p>
    <w:p>
      <w:pPr>
        <w:pStyle w:val="TextBody"/>
        <w:bidi w:val="0"/>
        <w:spacing w:before="0" w:after="0"/>
        <w:ind w:left="0" w:right="0" w:hanging="0"/>
        <w:jc w:val="both"/>
        <w:rPr>
          <w:caps w:val="false"/>
          <w:smallCaps w:val="false"/>
        </w:rPr>
      </w:pPr>
      <w:r>
        <w:rPr>
          <w:caps w:val="false"/>
          <w:smallCaps w:val="false"/>
        </w:rPr>
        <w:t> </w:t>
      </w:r>
    </w:p>
    <w:tbl>
      <w:tblPr>
        <w:tblW w:w="3148" w:type="dxa"/>
        <w:jc w:val="left"/>
        <w:tblInd w:w="0" w:type="dxa"/>
        <w:tblLayout w:type="fixed"/>
        <w:tblCellMar>
          <w:top w:w="28" w:type="dxa"/>
          <w:left w:w="28" w:type="dxa"/>
          <w:bottom w:w="28" w:type="dxa"/>
          <w:right w:w="28" w:type="dxa"/>
        </w:tblCellMar>
      </w:tblPr>
      <w:tblGrid>
        <w:gridCol w:w="161"/>
        <w:gridCol w:w="586"/>
        <w:gridCol w:w="2401"/>
      </w:tblGrid>
      <w:tr>
        <w:trPr/>
        <w:tc>
          <w:tcPr>
            <w:tcW w:w="16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4.1.6</w:t>
            </w:r>
          </w:p>
        </w:tc>
        <w:tc>
          <w:tcPr>
            <w:tcW w:w="2401" w:type="dxa"/>
            <w:tcBorders/>
            <w:vAlign w:val="center"/>
          </w:tcPr>
          <w:p>
            <w:pPr>
              <w:pStyle w:val="TableContents"/>
              <w:bidi w:val="0"/>
              <w:spacing w:before="0" w:after="0"/>
              <w:ind w:left="0" w:right="0" w:hanging="0"/>
              <w:jc w:val="left"/>
              <w:rPr>
                <w:rFonts w:ascii="Times New Roman" w:hAnsi="Times New Roman"/>
                <w:caps w:val="false"/>
                <w:smallCaps w:val="false"/>
                <w:sz w:val="24"/>
                <w:u w:val="single"/>
              </w:rPr>
            </w:pPr>
            <w:r>
              <w:rPr>
                <w:rFonts w:ascii="Times New Roman" w:hAnsi="Times New Roman"/>
                <w:caps w:val="false"/>
                <w:smallCaps w:val="false"/>
                <w:sz w:val="24"/>
                <w:u w:val="single"/>
              </w:rPr>
              <w:t>Additional Deliverables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(a)    The Company shall have delivered to the Holder a certificate evidencing the Company’s good standing issued by the Secretary of State (or comparable office) of the State of Delaware and a certificate of existence from each jurisdiction in which the Company conducts business and is required to qualify to do business as a foreign corporation, as of a date within ten (10) days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(b)    The Company shall have delivered to the Holder a certificate, in the form acceptable to the Holder, executed by the secretary or other executive officer of the Company and dated as of the Closing Date, as to the validity and effectiveness of, and attaching (i) the resolutions consistent with Section 6.1.2 below as adopted by the Company’s board of directors in a form reasonably acceptable to the Holder, (ii) a copy of the Certificate of Incorporation of the Company, (iii) the Bylaws (as defined below) of the Company, and (iv) the incumbency of the officers authorized to execute this Agreement, each as in effect at the Closing.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4.2   </w:t>
      </w:r>
      <w:r>
        <w:rPr>
          <w:rFonts w:ascii="Times New Roman" w:hAnsi="Times New Roman"/>
          <w:caps w:val="false"/>
          <w:smallCaps w:val="false"/>
          <w:sz w:val="24"/>
          <w:u w:val="single"/>
        </w:rPr>
        <w:t>Condition’s to the Company’s Obligations to the Closing</w:t>
      </w:r>
      <w:r>
        <w:rPr>
          <w:rFonts w:ascii="Times New Roman" w:hAnsi="Times New Roman"/>
          <w:caps w:val="false"/>
          <w:smallCaps w:val="false"/>
          <w:sz w:val="24"/>
        </w:rPr>
        <w:t>. The obligation of the Company to consummate the Transactions is subject to the fulfillment (or waiver, at the sole option of the Company), to the Company’s reasonable satisfaction, prior to or at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4.2.1    </w:t>
      </w:r>
      <w:r>
        <w:rPr>
          <w:rFonts w:ascii="Times New Roman" w:hAnsi="Times New Roman"/>
          <w:caps w:val="false"/>
          <w:smallCaps w:val="false"/>
          <w:sz w:val="24"/>
          <w:u w:val="single"/>
        </w:rPr>
        <w:t>Representations and Warranties</w:t>
      </w:r>
      <w:r>
        <w:rPr>
          <w:rFonts w:ascii="Times New Roman" w:hAnsi="Times New Roman"/>
          <w:caps w:val="false"/>
          <w:smallCaps w:val="false"/>
          <w:sz w:val="24"/>
        </w:rPr>
        <w:t>. The representations and warranties of the Holder set forth herein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Holder shall have performed, satisfied and complied in all material respects with the covenants, agreements and conditions required by this Agreement to be performed, satisfied or complied with by the Holder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4.2.2    </w:t>
      </w:r>
      <w:r>
        <w:rPr>
          <w:rFonts w:ascii="Times New Roman" w:hAnsi="Times New Roman"/>
          <w:caps w:val="false"/>
          <w:smallCaps w:val="false"/>
          <w:sz w:val="24"/>
          <w:u w:val="single"/>
        </w:rPr>
        <w:t>No Actions</w:t>
      </w:r>
      <w:r>
        <w:rPr>
          <w:rFonts w:ascii="Times New Roman" w:hAnsi="Times New Roman"/>
          <w:caps w:val="false"/>
          <w:smallCaps w:val="false"/>
          <w:sz w:val="24"/>
        </w:rPr>
        <w:t>. No action, proceeding, investigation, regulation or legislation shall have been instituted, threatened or proposed before any court, governmental agency or authority or legislative body to enjoin, restrain, prohibit, or obtain substantial damages in respect of, this Agreement or the consummation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4.2.3    </w:t>
      </w:r>
      <w:r>
        <w:rPr>
          <w:rFonts w:ascii="Times New Roman" w:hAnsi="Times New Roman"/>
          <w:caps w:val="false"/>
          <w:smallCaps w:val="false"/>
          <w:sz w:val="24"/>
          <w:u w:val="single"/>
        </w:rPr>
        <w:t>Proceedings and Documents</w:t>
      </w:r>
      <w:r>
        <w:rPr>
          <w:rFonts w:ascii="Times New Roman" w:hAnsi="Times New Roman"/>
          <w:caps w:val="false"/>
          <w:smallCaps w:val="false"/>
          <w:sz w:val="24"/>
        </w:rPr>
        <w:t>. All proceedings in connection with the transactions contemplated hereby and all documents and instruments incident to such transactions shall be satisfactory in substance and form to the Company and the Company shall have received all such counterpart originals or certified or other copies of such documents as the Company may reasonably request.</w:t>
      </w:r>
    </w:p>
    <w:p>
      <w:pPr>
        <w:pStyle w:val="TextBody"/>
        <w:bidi w:val="0"/>
        <w:spacing w:before="0" w:after="0"/>
        <w:ind w:left="0" w:right="0" w:hanging="0"/>
        <w:jc w:val="both"/>
        <w:rPr>
          <w:caps w:val="false"/>
          <w:smallCaps w:val="false"/>
        </w:rPr>
      </w:pPr>
      <w:r>
        <w:rPr>
          <w:caps w:val="false"/>
          <w:smallCaps w:val="false"/>
        </w:rPr>
        <w:t> </w:t>
      </w:r>
    </w:p>
    <w:tbl>
      <w:tblPr>
        <w:tblW w:w="4573" w:type="dxa"/>
        <w:jc w:val="left"/>
        <w:tblInd w:w="0" w:type="dxa"/>
        <w:tblLayout w:type="fixed"/>
        <w:tblCellMar>
          <w:top w:w="28" w:type="dxa"/>
          <w:left w:w="28" w:type="dxa"/>
          <w:bottom w:w="28" w:type="dxa"/>
          <w:right w:w="28" w:type="dxa"/>
        </w:tblCellMar>
      </w:tblPr>
      <w:tblGrid>
        <w:gridCol w:w="161"/>
        <w:gridCol w:w="286"/>
        <w:gridCol w:w="4126"/>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5.</w:t>
            </w:r>
          </w:p>
        </w:tc>
        <w:tc>
          <w:tcPr>
            <w:tcW w:w="4126" w:type="dxa"/>
            <w:tcBorders/>
            <w:vAlign w:val="center"/>
          </w:tcPr>
          <w:p>
            <w:pPr>
              <w:pStyle w:val="TableContents"/>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u w:val="single"/>
              </w:rPr>
              <w:t>Ratifications; Payment; Effective Time</w:t>
            </w:r>
            <w:r>
              <w:rPr>
                <w:rFonts w:ascii="Times New Roman" w:hAnsi="Times New Roman"/>
                <w:b/>
                <w:caps w:val="false"/>
                <w:smallCaps w:val="false"/>
                <w:sz w:val="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920"/>
        <w:jc w:val="both"/>
        <w:rPr>
          <w:rFonts w:ascii="Times New Roman" w:hAnsi="Times New Roman"/>
          <w:caps w:val="false"/>
          <w:smallCaps w:val="false"/>
          <w:sz w:val="24"/>
        </w:rPr>
      </w:pPr>
      <w:r>
        <w:rPr>
          <w:rFonts w:ascii="Times New Roman" w:hAnsi="Times New Roman"/>
          <w:caps w:val="false"/>
          <w:smallCaps w:val="false"/>
          <w:sz w:val="24"/>
          <w:u w:val="single"/>
        </w:rPr>
        <w:t>Legal Fee Payment</w:t>
      </w:r>
      <w:r>
        <w:rPr>
          <w:rFonts w:ascii="Times New Roman" w:hAnsi="Times New Roman"/>
          <w:caps w:val="false"/>
          <w:smallCaps w:val="false"/>
          <w:sz w:val="24"/>
        </w:rPr>
        <w:t>. On or prior to the Closing Date, the Company shall pay, in U.S. dollars and immediately available funds, the Legal Fee Amount (as defined below) to Kelley Drye &amp; Warren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920"/>
        <w:jc w:val="both"/>
        <w:rPr>
          <w:rFonts w:ascii="Times New Roman" w:hAnsi="Times New Roman"/>
          <w:caps w:val="false"/>
          <w:smallCaps w:val="false"/>
          <w:sz w:val="24"/>
        </w:rPr>
      </w:pPr>
      <w:r>
        <w:rPr>
          <w:rFonts w:ascii="Times New Roman" w:hAnsi="Times New Roman"/>
          <w:caps w:val="false"/>
          <w:smallCaps w:val="false"/>
          <w:sz w:val="24"/>
          <w:u w:val="single"/>
        </w:rPr>
        <w:t>Effective Time</w:t>
      </w:r>
      <w:r>
        <w:rPr>
          <w:rFonts w:ascii="Times New Roman" w:hAnsi="Times New Roman"/>
          <w:caps w:val="false"/>
          <w:smallCaps w:val="false"/>
          <w:sz w:val="24"/>
        </w:rPr>
        <w:t>. This Agreement shall be deemed to be effective (the “</w:t>
      </w:r>
      <w:r>
        <w:rPr>
          <w:rFonts w:ascii="Times New Roman" w:hAnsi="Times New Roman"/>
          <w:b/>
          <w:caps w:val="false"/>
          <w:smallCaps w:val="false"/>
          <w:sz w:val="24"/>
        </w:rPr>
        <w:t>Effective Time</w:t>
      </w:r>
      <w:r>
        <w:rPr>
          <w:rFonts w:ascii="Times New Roman" w:hAnsi="Times New Roman"/>
          <w:caps w:val="false"/>
          <w:smallCaps w:val="false"/>
          <w:sz w:val="24"/>
        </w:rPr>
        <w:t xml:space="preserve">”) upon the time of full execution and delivery by the parties hereto of this Agreement and the other Repurchase Documents.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958" w:type="dxa"/>
        <w:jc w:val="left"/>
        <w:tblInd w:w="0" w:type="dxa"/>
        <w:tblLayout w:type="fixed"/>
        <w:tblCellMar>
          <w:top w:w="28" w:type="dxa"/>
          <w:left w:w="28" w:type="dxa"/>
          <w:bottom w:w="28" w:type="dxa"/>
          <w:right w:w="28" w:type="dxa"/>
        </w:tblCellMar>
      </w:tblPr>
      <w:tblGrid>
        <w:gridCol w:w="161"/>
        <w:gridCol w:w="286"/>
        <w:gridCol w:w="351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6.</w:t>
            </w:r>
          </w:p>
        </w:tc>
        <w:tc>
          <w:tcPr>
            <w:tcW w:w="3511"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u w:val="single"/>
              </w:rPr>
              <w:t>Representations and Warranties</w:t>
            </w:r>
            <w:r>
              <w:rPr>
                <w:rFonts w:ascii="Times New Roman" w:hAnsi="Times New Roman"/>
                <w:caps w:val="false"/>
                <w:smallCaps w:val="false"/>
                <w:sz w:val="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6.1    </w:t>
      </w:r>
      <w:r>
        <w:rPr>
          <w:rFonts w:ascii="Times New Roman" w:hAnsi="Times New Roman"/>
          <w:caps w:val="false"/>
          <w:smallCaps w:val="false"/>
          <w:sz w:val="24"/>
          <w:u w:val="single"/>
        </w:rPr>
        <w:t>Representations and Warranties of the Company</w:t>
      </w:r>
      <w:r>
        <w:rPr>
          <w:rFonts w:ascii="Times New Roman" w:hAnsi="Times New Roman"/>
          <w:caps w:val="false"/>
          <w:smallCaps w:val="false"/>
          <w:sz w:val="24"/>
        </w:rPr>
        <w:t>. The Company represents and warrants to the Holder as of the date hereof and as of the Closing Date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6.1.1    </w:t>
      </w:r>
      <w:r>
        <w:rPr>
          <w:rFonts w:ascii="Times New Roman" w:hAnsi="Times New Roman"/>
          <w:caps w:val="false"/>
          <w:smallCaps w:val="false"/>
          <w:sz w:val="24"/>
          <w:u w:val="single"/>
        </w:rPr>
        <w:t>Organization and Qualification</w:t>
      </w:r>
      <w:r>
        <w:rPr>
          <w:rFonts w:ascii="Times New Roman" w:hAnsi="Times New Roman"/>
          <w:caps w:val="false"/>
          <w:smallCaps w:val="false"/>
          <w:sz w:val="24"/>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hAnsi="Times New Roman"/>
          <w:b/>
          <w:caps w:val="false"/>
          <w:smallCaps w:val="false"/>
          <w:sz w:val="24"/>
        </w:rPr>
        <w:t>Material Adverse Effect</w:t>
      </w:r>
      <w:r>
        <w:rPr>
          <w:rFonts w:ascii="Times New Roman" w:hAnsi="Times New Roman"/>
          <w:caps w:val="false"/>
          <w:smallCaps w:val="false"/>
          <w:sz w:val="24"/>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Repurchase Documents or (iii) the authority or ability of the Company or any of its Subsidiaries to perform any of their respective obligations under any of the Repurchase Documents (as defined below). Other than the Persons (as defined below) listed in the SEC Documents, the Company has no Subsidiaries. “</w:t>
      </w:r>
      <w:r>
        <w:rPr>
          <w:rFonts w:ascii="Times New Roman" w:hAnsi="Times New Roman"/>
          <w:b/>
          <w:caps w:val="false"/>
          <w:smallCaps w:val="false"/>
          <w:sz w:val="24"/>
        </w:rPr>
        <w:t>Subsidiaries</w:t>
      </w:r>
      <w:r>
        <w:rPr>
          <w:rFonts w:ascii="Times New Roman" w:hAnsi="Times New Roman"/>
          <w:caps w:val="false"/>
          <w:smallCaps w:val="false"/>
          <w:sz w:val="24"/>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hAnsi="Times New Roman"/>
          <w:b/>
          <w:caps w:val="false"/>
          <w:smallCaps w:val="false"/>
          <w:sz w:val="24"/>
        </w:rPr>
        <w:t>Subsidiary</w:t>
      </w:r>
      <w:r>
        <w:rPr>
          <w:rFonts w:ascii="Times New Roman" w:hAnsi="Times New Roman"/>
          <w:caps w:val="false"/>
          <w:smallCaps w:val="false"/>
          <w:sz w:val="24"/>
        </w:rPr>
        <w:t>.” For purposes of this Agreement, (x) “</w:t>
      </w:r>
      <w:r>
        <w:rPr>
          <w:rFonts w:ascii="Times New Roman" w:hAnsi="Times New Roman"/>
          <w:b/>
          <w:caps w:val="false"/>
          <w:smallCaps w:val="false"/>
          <w:sz w:val="24"/>
        </w:rPr>
        <w:t>Person</w:t>
      </w:r>
      <w:r>
        <w:rPr>
          <w:rFonts w:ascii="Times New Roman" w:hAnsi="Times New Roman"/>
          <w:caps w:val="false"/>
          <w:smallCaps w:val="false"/>
          <w:sz w:val="24"/>
        </w:rPr>
        <w:t>” means an individual, a limited liability company, a partnership, a joint venture, a corporation, a trust, an unincorporated organization, any other entity and any Governmental Entity or any department or agency thereof and (y) “</w:t>
      </w:r>
      <w:r>
        <w:rPr>
          <w:rFonts w:ascii="Times New Roman" w:hAnsi="Times New Roman"/>
          <w:b/>
          <w:caps w:val="false"/>
          <w:smallCaps w:val="false"/>
          <w:sz w:val="24"/>
        </w:rPr>
        <w:t>Governmental Entity</w:t>
      </w:r>
      <w:r>
        <w:rPr>
          <w:rFonts w:ascii="Times New Roman" w:hAnsi="Times New Roman"/>
          <w:caps w:val="false"/>
          <w:smallCaps w:val="false"/>
          <w:sz w:val="24"/>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6.1.2    </w:t>
      </w:r>
      <w:r>
        <w:rPr>
          <w:rFonts w:ascii="Times New Roman" w:hAnsi="Times New Roman"/>
          <w:caps w:val="false"/>
          <w:smallCaps w:val="false"/>
          <w:sz w:val="24"/>
          <w:u w:val="single"/>
        </w:rPr>
        <w:t>Authorization and Binding Obligation</w:t>
      </w:r>
      <w:r>
        <w:rPr>
          <w:rFonts w:ascii="Times New Roman" w:hAnsi="Times New Roman"/>
          <w:caps w:val="false"/>
          <w:smallCaps w:val="false"/>
          <w:sz w:val="24"/>
        </w:rPr>
        <w:t>. The Company has the requisite power and authority to enter into and perform its obligations under this Agreement and each of the other agreements entered into by the parties hereto in connection with the transactions contemplated by the Repurchase Documents and to consummate the Transaction. The execution and delivery of the Repurchase Documents by the Company and the consummation by the Company of the transactions contemplated hereby and thereby, has been duly authorized by the Company’s Board of Directors and no further filing, consent, or authorization is required by the Company, its Board of Directors or its stockholders. This Agreement and the other Repurchase Documents have been duly executed and delivered by the Company, and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6.1.3    </w:t>
      </w:r>
      <w:r>
        <w:rPr>
          <w:rFonts w:ascii="Times New Roman" w:hAnsi="Times New Roman"/>
          <w:caps w:val="false"/>
          <w:smallCaps w:val="false"/>
          <w:sz w:val="24"/>
          <w:u w:val="single"/>
        </w:rPr>
        <w:t>No Conflict</w:t>
      </w:r>
      <w:r>
        <w:rPr>
          <w:rFonts w:ascii="Times New Roman" w:hAnsi="Times New Roman"/>
          <w:caps w:val="false"/>
          <w:smallCaps w:val="false"/>
          <w:sz w:val="24"/>
        </w:rPr>
        <w:t>. The execution, delivery and performance of the Repurchase Documents by the Company and the consummation by the Company of the transactions contemplated hereby and thereby will not (i) result in a violation of the Certificate of Incorporation or any other organizational documents of the Company or any of its Subsidiaries, any capital stock of the Company or any of its Subsidiaries or Bylaws of the Company or any of its Subsidiaries,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foreign, federal and state securities laws and regulations and the rules and regulations of the Nasdaq Capital Market (the “</w:t>
      </w:r>
      <w:r>
        <w:rPr>
          <w:rFonts w:ascii="Times New Roman" w:hAnsi="Times New Roman"/>
          <w:b/>
          <w:caps w:val="false"/>
          <w:smallCaps w:val="false"/>
          <w:sz w:val="24"/>
        </w:rPr>
        <w:t>Principal Market</w:t>
      </w:r>
      <w:r>
        <w:rPr>
          <w:rFonts w:ascii="Times New Roman" w:hAnsi="Times New Roman"/>
          <w:caps w:val="false"/>
          <w:smallCaps w:val="false"/>
          <w:sz w:val="24"/>
        </w:rPr>
        <w:t>”) and including all applicable federal laws, rules and regulations) applicable to the Company or any of its Subsidiaries or by which any property or asset of the Company or any of its Subsidiaries is bound or affected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6.1.4    </w:t>
      </w:r>
      <w:r>
        <w:rPr>
          <w:rFonts w:ascii="Times New Roman" w:hAnsi="Times New Roman"/>
          <w:caps w:val="false"/>
          <w:smallCaps w:val="false"/>
          <w:sz w:val="24"/>
          <w:u w:val="single"/>
        </w:rPr>
        <w:t>No Consents</w:t>
      </w:r>
      <w:r>
        <w:rPr>
          <w:rFonts w:ascii="Times New Roman" w:hAnsi="Times New Roman"/>
          <w:caps w:val="false"/>
          <w:smallCaps w:val="false"/>
          <w:sz w:val="24"/>
        </w:rPr>
        <w:t>. Neither the Company nor any Subsidiary is required to obtain any consent from, authorization or order of, or make any filing or registration with any court, governmental agency or any regulatory or self-regulatory agency or any other Person in order for it to execute, deliver or perform any of its respective obligations under or contemplated by the Repurchase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except for any stockholder approval required, which shall be obtained, as otherwise provided in this Agreement, and neither the Company nor any of its Subsidiaries are aware of any facts or circumstances which might prevent the Company or any of its Subsidiaries from obtaining or effecting any of the registration, application or filings contemplated by the Repurchase Documents. Except as disclosed in the SEC Documents, the Company is not in violation of the requirements of the Principal Market and has no knowledge of any facts or circumstances which would reasonably lead to delisting or suspension of the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6.1.5    </w:t>
      </w:r>
      <w:r>
        <w:rPr>
          <w:rFonts w:ascii="Times New Roman" w:hAnsi="Times New Roman"/>
          <w:caps w:val="false"/>
          <w:smallCaps w:val="false"/>
          <w:sz w:val="24"/>
          <w:u w:val="single"/>
        </w:rPr>
        <w:t>Disclosure</w:t>
      </w:r>
      <w:r>
        <w:rPr>
          <w:rFonts w:ascii="Times New Roman" w:hAnsi="Times New Roman"/>
          <w:caps w:val="false"/>
          <w:smallCaps w:val="false"/>
          <w:sz w:val="24"/>
        </w:rPr>
        <w:t>. The Company confirms that neither it nor any other Person acting on its behalf has provided the Holder or its agents or counsel with any information that constitutes or would reasonably be expected to constitute material, non-public information concerning the Company or any of its Subsidiaries, other than the existence of the transactions contemplated by this Agreement and the other Repurchase Documents. The Company understands and confirms that the Holder will rely on the foregoing representations in effecting transactions in securities of the Company. All disclosure provided to the Holder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announced or disclosed.</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6.2    </w:t>
      </w:r>
      <w:r>
        <w:rPr>
          <w:rFonts w:ascii="Times New Roman" w:hAnsi="Times New Roman"/>
          <w:caps w:val="false"/>
          <w:smallCaps w:val="false"/>
          <w:sz w:val="24"/>
          <w:u w:val="single"/>
        </w:rPr>
        <w:t>Holder’s Representations and Warranties</w:t>
      </w:r>
      <w:r>
        <w:rPr>
          <w:rFonts w:ascii="Times New Roman" w:hAnsi="Times New Roman"/>
          <w:caps w:val="false"/>
          <w:smallCaps w:val="false"/>
          <w:sz w:val="24"/>
        </w:rPr>
        <w:t>. As a material inducement to the Company to enter into this Agreement and consummate the Transaction, the Holder represents and warrants with and to the Company as of the date hereof and as of the Closing Date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6.2.1    </w:t>
      </w:r>
      <w:r>
        <w:rPr>
          <w:rFonts w:ascii="Times New Roman" w:hAnsi="Times New Roman"/>
          <w:caps w:val="false"/>
          <w:smallCaps w:val="false"/>
          <w:sz w:val="24"/>
          <w:u w:val="single"/>
        </w:rPr>
        <w:t>Validity; Enforcement</w:t>
      </w:r>
      <w:r>
        <w:rPr>
          <w:rFonts w:ascii="Times New Roman" w:hAnsi="Times New Roman"/>
          <w:caps w:val="false"/>
          <w:smallCaps w:val="false"/>
          <w:sz w:val="24"/>
        </w:rPr>
        <w:t>. This Agreement and the Repurchase Documents to which the Holder is a party have been duly and validly authorized, executed and delivered on behalf of the Holder and shall constitute the legal, valid and binding obligations of the Holder enforceable against the Holder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6.2.2    </w:t>
      </w:r>
      <w:r>
        <w:rPr>
          <w:rFonts w:ascii="Times New Roman" w:hAnsi="Times New Roman"/>
          <w:caps w:val="false"/>
          <w:smallCaps w:val="false"/>
          <w:sz w:val="24"/>
          <w:u w:val="single"/>
        </w:rPr>
        <w:t>No Conflicts</w:t>
      </w:r>
      <w:r>
        <w:rPr>
          <w:rFonts w:ascii="Times New Roman" w:hAnsi="Times New Roman"/>
          <w:caps w:val="false"/>
          <w:smallCaps w:val="false"/>
          <w:sz w:val="24"/>
        </w:rPr>
        <w:t>. The execution, delivery and performance by the Holder of this Agreement and the Repurchase Documents to which the Holder is a party, and the consummation by the Holder of the transactions contemplated hereby and thereby will not (i) result in a violation of the organizational documents of the Holder or (ii) conflict with, or constitute a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4"/>
        </w:rPr>
      </w:pPr>
      <w:r>
        <w:rPr>
          <w:rFonts w:ascii="Times New Roman" w:hAnsi="Times New Roman"/>
          <w:caps w:val="false"/>
          <w:smallCaps w:val="false"/>
          <w:sz w:val="24"/>
        </w:rPr>
        <w:t>6.2.3    </w:t>
      </w:r>
      <w:r>
        <w:rPr>
          <w:rFonts w:ascii="Times New Roman" w:hAnsi="Times New Roman"/>
          <w:caps w:val="false"/>
          <w:smallCaps w:val="false"/>
          <w:sz w:val="24"/>
          <w:u w:val="single"/>
        </w:rPr>
        <w:t>Ownership of Existing Note and the Existing Warrants</w:t>
      </w:r>
      <w:r>
        <w:rPr>
          <w:rFonts w:ascii="Times New Roman" w:hAnsi="Times New Roman"/>
          <w:caps w:val="false"/>
          <w:smallCaps w:val="false"/>
          <w:sz w:val="24"/>
        </w:rPr>
        <w:t>. The Holder owns the Existing Note and the Existing Warrants free and clear of any Liens (other than the obligations pursuant to this Agreement and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4"/>
        </w:rPr>
      </w:pPr>
      <w:r>
        <w:rPr>
          <w:rFonts w:ascii="Times New Roman" w:hAnsi="Times New Roman"/>
          <w:caps w:val="false"/>
          <w:smallCaps w:val="false"/>
          <w:sz w:val="24"/>
        </w:rPr>
        <w:t>7.      </w:t>
      </w:r>
      <w:r>
        <w:rPr>
          <w:rFonts w:ascii="Times New Roman" w:hAnsi="Times New Roman"/>
          <w:b/>
          <w:caps w:val="false"/>
          <w:smallCaps w:val="false"/>
          <w:sz w:val="24"/>
          <w:u w:val="single"/>
        </w:rPr>
        <w:t>Disclosure of Transaction</w:t>
      </w:r>
      <w:r>
        <w:rPr>
          <w:rFonts w:ascii="Times New Roman" w:hAnsi="Times New Roman"/>
          <w:caps w:val="false"/>
          <w:smallCaps w:val="false"/>
          <w:sz w:val="24"/>
        </w:rPr>
        <w:t>. The Company shall, on or before 9:30 a.m., New York City Time, on or prior to the first business day after the date of this Agreement, file a Current Report on Form 8-K describing the terms of the transactions contemplated hereby in the form required by the 1934 Act and attaching the forms of this Agreement as an exhibit to such filing (including all attachments, the “</w:t>
      </w:r>
      <w:r>
        <w:rPr>
          <w:rFonts w:ascii="Times New Roman" w:hAnsi="Times New Roman"/>
          <w:b/>
          <w:caps w:val="false"/>
          <w:smallCaps w:val="false"/>
          <w:sz w:val="24"/>
        </w:rPr>
        <w:t>8-K Filing</w:t>
      </w:r>
      <w:r>
        <w:rPr>
          <w:rFonts w:ascii="Times New Roman" w:hAnsi="Times New Roman"/>
          <w:caps w:val="false"/>
          <w:smallCaps w:val="false"/>
          <w:sz w:val="24"/>
        </w:rPr>
        <w:t xml:space="preserve">”). From and after the filing of the 8-K Filing, the Company shall have disclosed all material, non-public information (if any) provided up to such time to the Holder by the Company or any of its Subsidiaries or any of their respective officers, directors, employees or agents. In addition, effective upon the filing of the 8-K Filing, the Company acknowledges and agrees that any and all confidentiality or similar obligations under any agreement with respect to the transactions contemplated by the Repurchase Documents or as otherwise disclosed in the 8-K Filing, whether written or oral, between the Company, any of its Subsidiaries or any of their respective officers, directors, affiliates, employees or agents, on the one hand, and any of the Holder or any of their affiliates, on the other hand, shall terminate. Neither the Company, its Subsidiaries nor the Holder shall issue any press releases or any other public statements with respect to the transactions contemplated hereby, without the written prior approval of the other party; </w:t>
      </w:r>
      <w:r>
        <w:rPr>
          <w:rFonts w:ascii="Times New Roman" w:hAnsi="Times New Roman"/>
          <w:i/>
          <w:caps w:val="false"/>
          <w:smallCaps w:val="false"/>
          <w:sz w:val="24"/>
          <w:u w:val="single"/>
        </w:rPr>
        <w:t>provided</w:t>
      </w:r>
      <w:r>
        <w:rPr>
          <w:rFonts w:ascii="Times New Roman" w:hAnsi="Times New Roman"/>
          <w:caps w:val="false"/>
          <w:smallCaps w:val="false"/>
          <w:sz w:val="24"/>
        </w:rPr>
        <w:t xml:space="preserve">, </w:t>
      </w:r>
      <w:r>
        <w:rPr>
          <w:rFonts w:ascii="Times New Roman" w:hAnsi="Times New Roman"/>
          <w:i/>
          <w:caps w:val="false"/>
          <w:smallCaps w:val="false"/>
          <w:sz w:val="24"/>
          <w:u w:val="single"/>
        </w:rPr>
        <w:t>however</w:t>
      </w:r>
      <w:r>
        <w:rPr>
          <w:rFonts w:ascii="Times New Roman" w:hAnsi="Times New Roman"/>
          <w:caps w:val="false"/>
          <w:smallCaps w:val="false"/>
          <w:sz w:val="24"/>
        </w:rPr>
        <w:t>, the Company shall be entitled, without the prior approval of the Holder, to make a press release or other public disclosure with respect to such transactions (i) in substantial conformity with the 8-K Filing and contemporaneously therewith or (ii) as is required by applicable law and regulations (provided that in the case of clause (i) the Holder shall be consulted by the Company in connection with any such press release or other public disclosure prior to its release). Without the prior written consent of the Holder (which may be granted or withheld in the Holder’s sole discretion), except as required by applicable law, the Company shall not (and shall cause each of its Subsidiaries and affiliates to not) disclose the name of the Holder in any filing, announcement, release or otherwise.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4"/>
        </w:rPr>
      </w:pPr>
      <w:r>
        <w:rPr>
          <w:rFonts w:ascii="Times New Roman" w:hAnsi="Times New Roman"/>
          <w:caps w:val="false"/>
          <w:smallCaps w:val="false"/>
          <w:sz w:val="24"/>
        </w:rPr>
        <w:t>8.      </w:t>
      </w:r>
      <w:r>
        <w:rPr>
          <w:rFonts w:ascii="Times New Roman" w:hAnsi="Times New Roman"/>
          <w:b/>
          <w:caps w:val="false"/>
          <w:smallCaps w:val="false"/>
          <w:sz w:val="24"/>
          <w:u w:val="single"/>
        </w:rPr>
        <w:t>Fees</w:t>
      </w:r>
      <w:r>
        <w:rPr>
          <w:rFonts w:ascii="Times New Roman" w:hAnsi="Times New Roman"/>
          <w:b/>
          <w:caps w:val="false"/>
          <w:smallCaps w:val="false"/>
          <w:sz w:val="24"/>
        </w:rPr>
        <w:t xml:space="preserve">. </w:t>
      </w:r>
      <w:r>
        <w:rPr>
          <w:rFonts w:ascii="Times New Roman" w:hAnsi="Times New Roman"/>
          <w:caps w:val="false"/>
          <w:smallCaps w:val="false"/>
          <w:sz w:val="24"/>
        </w:rPr>
        <w:t>The Company shall reimburse Kelley Drye &amp; Warren, LLP (counsel to the lead Holder) in an aggregate non-accountable amount of $20,000 (the “</w:t>
      </w:r>
      <w:r>
        <w:rPr>
          <w:rFonts w:ascii="Times New Roman" w:hAnsi="Times New Roman"/>
          <w:b/>
          <w:caps w:val="false"/>
          <w:smallCaps w:val="false"/>
          <w:sz w:val="24"/>
        </w:rPr>
        <w:t>Legal Fee Amount</w:t>
      </w:r>
      <w:r>
        <w:rPr>
          <w:rFonts w:ascii="Times New Roman" w:hAnsi="Times New Roman"/>
          <w:caps w:val="false"/>
          <w:smallCaps w:val="false"/>
          <w:sz w:val="24"/>
        </w:rPr>
        <w:t>”) for costs and expenses incurred by it in connection with drafting and negotiation of the Repurchase Documents. Each party to this Agreement shall bear its own expenses in connection with the structuring, documentation, negotiation and closing of the transactions contemplated hereby, except as provided in the previous sentence and except that the Company shall be responsible for the payment of any placement agent’s fees, financial advisory fees, transfer agent fees, Depository Trust Company (“</w:t>
      </w:r>
      <w:r>
        <w:rPr>
          <w:rFonts w:ascii="Times New Roman" w:hAnsi="Times New Roman"/>
          <w:b/>
          <w:caps w:val="false"/>
          <w:smallCaps w:val="false"/>
          <w:sz w:val="24"/>
        </w:rPr>
        <w:t>DTC</w:t>
      </w:r>
      <w:r>
        <w:rPr>
          <w:rFonts w:ascii="Times New Roman" w:hAnsi="Times New Roman"/>
          <w:caps w:val="false"/>
          <w:smallCaps w:val="false"/>
          <w:sz w:val="24"/>
        </w:rPr>
        <w:t>”) fees relating to or arising out of the transactions contemplated hereby.</w:t>
      </w:r>
    </w:p>
    <w:p>
      <w:pPr>
        <w:pStyle w:val="TextBody"/>
        <w:bidi w:val="0"/>
        <w:spacing w:before="0" w:after="0"/>
        <w:ind w:left="0" w:right="0" w:hanging="0"/>
        <w:jc w:val="both"/>
        <w:rPr>
          <w:caps w:val="false"/>
          <w:smallCaps w:val="false"/>
        </w:rPr>
      </w:pPr>
      <w:r>
        <w:rPr>
          <w:caps w:val="false"/>
          <w:smallCaps w:val="false"/>
        </w:rPr>
        <w:t> </w:t>
      </w:r>
    </w:p>
    <w:tbl>
      <w:tblPr>
        <w:tblW w:w="2068" w:type="dxa"/>
        <w:jc w:val="left"/>
        <w:tblInd w:w="0" w:type="dxa"/>
        <w:tblLayout w:type="fixed"/>
        <w:tblCellMar>
          <w:top w:w="28" w:type="dxa"/>
          <w:left w:w="28" w:type="dxa"/>
          <w:bottom w:w="28" w:type="dxa"/>
          <w:right w:w="28" w:type="dxa"/>
        </w:tblCellMar>
      </w:tblPr>
      <w:tblGrid>
        <w:gridCol w:w="161"/>
        <w:gridCol w:w="286"/>
        <w:gridCol w:w="162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9.</w:t>
            </w:r>
          </w:p>
        </w:tc>
        <w:tc>
          <w:tcPr>
            <w:tcW w:w="1621"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u w:val="single"/>
              </w:rPr>
              <w:t>Miscellaneous</w:t>
            </w:r>
            <w:r>
              <w:rPr>
                <w:rFonts w:ascii="Times New Roman" w:hAnsi="Times New Roman"/>
                <w:caps w:val="false"/>
                <w:smallCaps w:val="false"/>
                <w:sz w:val="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9.1   </w:t>
      </w:r>
      <w:r>
        <w:rPr>
          <w:rFonts w:ascii="Times New Roman" w:hAnsi="Times New Roman"/>
          <w:caps w:val="false"/>
          <w:smallCaps w:val="false"/>
          <w:sz w:val="24"/>
          <w:u w:val="single"/>
        </w:rPr>
        <w:t>Successors and Assigns</w:t>
      </w:r>
      <w:r>
        <w:rPr>
          <w:rFonts w:ascii="Times New Roman" w:hAnsi="Times New Roman"/>
          <w:caps w:val="false"/>
          <w:smallCaps w:val="false"/>
          <w:sz w:val="24"/>
        </w:rPr>
        <w:t>. Except as otherwise provided herein, the terms and conditions of this Agreement shall inure to the benefit of and be binding upon the parties hereto and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9.2   </w:t>
      </w:r>
      <w:r>
        <w:rPr>
          <w:rFonts w:ascii="Times New Roman" w:hAnsi="Times New Roman"/>
          <w:caps w:val="false"/>
          <w:smallCaps w:val="false"/>
          <w:sz w:val="24"/>
          <w:u w:val="single"/>
        </w:rPr>
        <w:t>Governing Law; Jurisdiction; Jury Trial</w:t>
      </w:r>
      <w:r>
        <w:rPr>
          <w:rFonts w:ascii="Times New Roman" w:hAnsi="Times New Roman"/>
          <w:caps w:val="false"/>
          <w:smallCaps w:val="false"/>
          <w:sz w:val="24"/>
        </w:rPr>
        <w:t>. All questions concerning the construction, validity, enforcement and interpretation of this Agreement shall be governed by the internal laws of the State of Delaware, without giving effect to any choice of law or conflict of law provision or rule that would cause the application of the laws of any jurisdictions other than the State of Delaware. Each party hereby irrevocably submits to the exclusive jurisdiction of the state or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WITH OR ARISING OUT OF THIS AGREEMENT OR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9.3    </w:t>
      </w:r>
      <w:r>
        <w:rPr>
          <w:rFonts w:ascii="Times New Roman" w:hAnsi="Times New Roman"/>
          <w:caps w:val="false"/>
          <w:smallCaps w:val="false"/>
          <w:sz w:val="24"/>
          <w:u w:val="single"/>
        </w:rPr>
        <w:t>Titles and Subtitles</w:t>
      </w:r>
      <w:r>
        <w:rPr>
          <w:rFonts w:ascii="Times New Roman" w:hAnsi="Times New Roman"/>
          <w:caps w:val="false"/>
          <w:smallCaps w:val="false"/>
          <w:sz w:val="24"/>
        </w:rPr>
        <w:t>. The titles and subtitles used in this Agreement are used for convenience only and are not to be considered in construing or interpreting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9.4   </w:t>
      </w:r>
      <w:r>
        <w:rPr>
          <w:rFonts w:ascii="Times New Roman" w:hAnsi="Times New Roman"/>
          <w:caps w:val="false"/>
          <w:smallCaps w:val="false"/>
          <w:sz w:val="24"/>
          <w:u w:val="single"/>
        </w:rPr>
        <w:t>Notices</w:t>
      </w:r>
      <w:r>
        <w:rPr>
          <w:rFonts w:ascii="Times New Roman" w:hAnsi="Times New Roman"/>
          <w:caps w:val="false"/>
          <w:smallCaps w:val="false"/>
          <w:sz w:val="24"/>
        </w:rPr>
        <w:t>. Any notices, consents, waivers or other communications required or permitted to be given under the terms of this Agreement must be in writing and will be deemed to have been delivered: (i) upon receipt, when delivered personally; (ii) upon delivery, when sent by facsimile (provided confirmation of transmission is mechanically or electronically generated and kept on file by the sending party) or by electronic mail; or (iii) one Trading Day after deposit with an overnight courier service, in each case properly addressed to the party to receive the same. The addresses, facsimile numbers and e-mail addresses for such communications shall be as set forth on the signature pages attached hereto or to such other address, facsimile number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9.5    for any finders’ fee or commission in connection with this Transaction, including, without limitation any commission or other remuneration, paid or given directly or indirectly for soliciting any of the Transactions. The Company shall indemnify and hold harmless the Holder from any liability for any commission or compensation described in this Section 9.5 (and the costs and expenses of defending against such liability or asserted liability) for which the Company or any of its officers, employees or representatives is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9.6    </w:t>
      </w:r>
      <w:r>
        <w:rPr>
          <w:rFonts w:ascii="Times New Roman" w:hAnsi="Times New Roman"/>
          <w:caps w:val="false"/>
          <w:smallCaps w:val="false"/>
          <w:sz w:val="24"/>
          <w:u w:val="single"/>
        </w:rPr>
        <w:t>Amendments and Waivers</w:t>
      </w:r>
      <w:r>
        <w:rPr>
          <w:rFonts w:ascii="Times New Roman" w:hAnsi="Times New Roman"/>
          <w:caps w:val="false"/>
          <w:smallCaps w:val="false"/>
          <w:sz w:val="24"/>
        </w:rPr>
        <w:t>. Any term of this Agreement may be amended and the observance of any term of this Agreement may be waived (either generally or in a particular instance and either retroactively or prospectively), only with the written consent of the Company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9.7    </w:t>
      </w:r>
      <w:r>
        <w:rPr>
          <w:rFonts w:ascii="Times New Roman" w:hAnsi="Times New Roman"/>
          <w:caps w:val="false"/>
          <w:smallCaps w:val="false"/>
          <w:sz w:val="24"/>
          <w:u w:val="single"/>
        </w:rPr>
        <w:t>Severability</w:t>
      </w:r>
      <w:r>
        <w:rPr>
          <w:rFonts w:ascii="Times New Roman" w:hAnsi="Times New Roman"/>
          <w:caps w:val="false"/>
          <w:smallCaps w:val="false"/>
          <w:sz w:val="24"/>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9.8    </w:t>
      </w:r>
      <w:r>
        <w:rPr>
          <w:rFonts w:ascii="Times New Roman" w:hAnsi="Times New Roman"/>
          <w:caps w:val="false"/>
          <w:smallCaps w:val="false"/>
          <w:sz w:val="24"/>
          <w:u w:val="single"/>
        </w:rPr>
        <w:t>Entire Agreement</w:t>
      </w:r>
      <w:r>
        <w:rPr>
          <w:rFonts w:ascii="Times New Roman" w:hAnsi="Times New Roman"/>
          <w:caps w:val="false"/>
          <w:smallCaps w:val="false"/>
          <w:sz w:val="24"/>
        </w:rPr>
        <w:t>. This Agreement together with the other Repurchase Documents, represents the entire agreement and understandings between the parties concerning the Transactions and the other matters described herein and therein and supersedes and replaces any and all prior agreements and understandings solely with respect to the subject matter hereof and thereof. Except as expressly set forth herein, nothing herein shall amend, modify or waive any term or condition of the other Repurchase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9.9    </w:t>
      </w:r>
      <w:r>
        <w:rPr>
          <w:rFonts w:ascii="Times New Roman" w:hAnsi="Times New Roman"/>
          <w:caps w:val="false"/>
          <w:smallCaps w:val="false"/>
          <w:sz w:val="24"/>
          <w:u w:val="single"/>
        </w:rPr>
        <w:t>Counterparts</w:t>
      </w:r>
      <w:r>
        <w:rPr>
          <w:rFonts w:ascii="Times New Roman" w:hAnsi="Times New Roman"/>
          <w:caps w:val="false"/>
          <w:smallCaps w:val="false"/>
          <w:sz w:val="24"/>
        </w:rPr>
        <w:t>.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9.10   </w:t>
      </w:r>
      <w:r>
        <w:rPr>
          <w:rFonts w:ascii="Times New Roman" w:hAnsi="Times New Roman"/>
          <w:caps w:val="false"/>
          <w:smallCaps w:val="false"/>
          <w:sz w:val="24"/>
          <w:u w:val="single"/>
        </w:rPr>
        <w:t>Interpretation</w:t>
      </w:r>
      <w:r>
        <w:rPr>
          <w:rFonts w:ascii="Times New Roman" w:hAnsi="Times New Roman"/>
          <w:caps w:val="false"/>
          <w:smallCaps w:val="false"/>
          <w:sz w:val="24"/>
        </w:rPr>
        <w:t>. Unless the context of this Agreement clearly requires otherwise, (a) references to the plural include the singular, the singular the plural, the part the whole, (b) references to any gender include all genders, (c) “including” has the inclusive meaning frequently identified with the phrase “but not limited to” and (d) references to “hereunder” or “herein” relate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9.11    </w:t>
      </w:r>
      <w:r>
        <w:rPr>
          <w:rFonts w:ascii="Times New Roman" w:hAnsi="Times New Roman"/>
          <w:caps w:val="false"/>
          <w:smallCaps w:val="false"/>
          <w:sz w:val="24"/>
          <w:u w:val="single"/>
        </w:rPr>
        <w:t>No Third Party Beneficiaries</w:t>
      </w:r>
      <w:r>
        <w:rPr>
          <w:rFonts w:ascii="Times New Roman" w:hAnsi="Times New Roman"/>
          <w:caps w:val="false"/>
          <w:smallCaps w:val="false"/>
          <w:sz w:val="24"/>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9.12    </w:t>
      </w:r>
      <w:r>
        <w:rPr>
          <w:rFonts w:ascii="Times New Roman" w:hAnsi="Times New Roman"/>
          <w:caps w:val="false"/>
          <w:smallCaps w:val="false"/>
          <w:sz w:val="24"/>
          <w:u w:val="single"/>
        </w:rPr>
        <w:t>Survival</w:t>
      </w:r>
      <w:r>
        <w:rPr>
          <w:rFonts w:ascii="Times New Roman" w:hAnsi="Times New Roman"/>
          <w:caps w:val="false"/>
          <w:smallCaps w:val="false"/>
          <w:sz w:val="24"/>
        </w:rPr>
        <w:t>. The representations, warranties and covenants of the Company and the Holder contained herein shall survive the consummation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9.13   </w:t>
      </w:r>
      <w:r>
        <w:rPr>
          <w:rFonts w:ascii="Times New Roman" w:hAnsi="Times New Roman"/>
          <w:caps w:val="false"/>
          <w:smallCaps w:val="false"/>
          <w:sz w:val="24"/>
          <w:u w:val="single"/>
        </w:rPr>
        <w:t>Further Assurances</w:t>
      </w:r>
      <w:r>
        <w:rPr>
          <w:rFonts w:ascii="Times New Roman" w:hAnsi="Times New Roman"/>
          <w:caps w:val="false"/>
          <w:smallCaps w:val="false"/>
          <w:sz w:val="24"/>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9.14    </w:t>
      </w:r>
      <w:r>
        <w:rPr>
          <w:rFonts w:ascii="Times New Roman" w:hAnsi="Times New Roman"/>
          <w:caps w:val="false"/>
          <w:smallCaps w:val="false"/>
          <w:sz w:val="24"/>
          <w:u w:val="single"/>
        </w:rPr>
        <w:t>No Strict Construction</w:t>
      </w:r>
      <w:r>
        <w:rPr>
          <w:rFonts w:ascii="Times New Roman" w:hAnsi="Times New Roman"/>
          <w:caps w:val="false"/>
          <w:smallCaps w:val="false"/>
          <w:sz w:val="24"/>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720"/>
        <w:jc w:val="both"/>
        <w:rPr>
          <w:rFonts w:ascii="Times New Roman" w:hAnsi="Times New Roman"/>
          <w:caps w:val="false"/>
          <w:smallCaps w:val="false"/>
          <w:sz w:val="24"/>
        </w:rPr>
      </w:pPr>
      <w:r>
        <w:rPr>
          <w:rFonts w:ascii="Times New Roman" w:hAnsi="Times New Roman"/>
          <w:caps w:val="false"/>
          <w:smallCaps w:val="false"/>
          <w:sz w:val="24"/>
        </w:rPr>
        <w:t>9.15    </w:t>
      </w:r>
      <w:r>
        <w:rPr>
          <w:rFonts w:ascii="Times New Roman" w:hAnsi="Times New Roman"/>
          <w:caps w:val="false"/>
          <w:smallCaps w:val="false"/>
          <w:sz w:val="24"/>
          <w:u w:val="single"/>
        </w:rPr>
        <w:t>Termination</w:t>
      </w:r>
      <w:r>
        <w:rPr>
          <w:rFonts w:ascii="Times New Roman" w:hAnsi="Times New Roman"/>
          <w:caps w:val="false"/>
          <w:smallCaps w:val="false"/>
          <w:sz w:val="24"/>
        </w:rPr>
        <w:t>. If the Closing Date shall not have occurred on or prior to the November 19, 2026 (or such later date as the Company and the Holder shall mutually agree in writing (which may be an e-mail)), this Agreement shall automatically terminate, ab initio, and shall have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[The remainder of the page is intentionally left blank]</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0" w:right="0" w:firstLine="720"/>
        <w:jc w:val="both"/>
        <w:rPr>
          <w:rFonts w:ascii="Times New Roman" w:hAnsi="Times New Roman"/>
          <w:caps w:val="false"/>
          <w:smallCaps w:val="false"/>
          <w:sz w:val="24"/>
        </w:rPr>
      </w:pPr>
      <w:r>
        <w:rPr>
          <w:rFonts w:ascii="Times New Roman" w:hAnsi="Times New Roman"/>
          <w:b/>
          <w:caps w:val="false"/>
          <w:smallCaps w:val="false"/>
          <w:sz w:val="24"/>
        </w:rPr>
        <w:t xml:space="preserve">IN WITNESS WHEREOF, </w:t>
      </w:r>
      <w:r>
        <w:rPr>
          <w:rFonts w:ascii="Times New Roman" w:hAnsi="Times New Roman"/>
          <w:caps w:val="false"/>
          <w:smallCaps w:val="false"/>
          <w:sz w:val="24"/>
        </w:rPr>
        <w:t>Holders and the Company have executed this Agreement as of the date set forth on the first page of this Agreement.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3769" w:type="dxa"/>
        <w:jc w:val="left"/>
        <w:tblInd w:w="0" w:type="dxa"/>
        <w:tblLayout w:type="fixed"/>
        <w:tblCellMar>
          <w:top w:w="0" w:type="dxa"/>
          <w:left w:w="0" w:type="dxa"/>
          <w:bottom w:w="0" w:type="dxa"/>
          <w:right w:w="0" w:type="dxa"/>
        </w:tblCellMar>
      </w:tblPr>
      <w:tblGrid>
        <w:gridCol w:w="421"/>
        <w:gridCol w:w="3279"/>
        <w:gridCol w:w="69"/>
      </w:tblGrid>
      <w:tr>
        <w:trPr/>
        <w:tc>
          <w:tcPr>
            <w:tcW w:w="3769" w:type="dxa"/>
            <w:gridSpan w:val="3"/>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COMPANY:</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69" w:type="dxa"/>
            <w:gridSpan w:val="3"/>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BANZAI INTERNATIONAL, INC.</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tcPr>
          <w:p>
            <w:pPr>
              <w:pStyle w:val="TableContents"/>
              <w:bidi w:val="0"/>
              <w:spacing w:before="0" w:after="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By:</w:t>
            </w:r>
          </w:p>
        </w:tc>
        <w:tc>
          <w:tcPr>
            <w:tcW w:w="3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/s/ Joseph Davy</w:t>
            </w:r>
          </w:p>
        </w:tc>
        <w:tc>
          <w:tcPr>
            <w:tcW w:w="69"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3279"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Name: Joseph Davy</w:t>
            </w:r>
          </w:p>
        </w:tc>
        <w:tc>
          <w:tcPr>
            <w:tcW w:w="69"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3279"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Title: Chief Executive Officer</w:t>
            </w:r>
          </w:p>
        </w:tc>
        <w:tc>
          <w:tcPr>
            <w:tcW w:w="69"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pPr>
            <w:r>
              <w:rPr/>
              <w:t> </w:t>
            </w:r>
          </w:p>
        </w:tc>
        <w:tc>
          <w:tcPr>
            <w:tcW w:w="3279"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Address: 435 Ericksen Ave, Suite 250</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Bainbridge Island, WA 98110</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r>
        <w:trPr/>
        <w:tc>
          <w:tcPr>
            <w:tcW w:w="37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4"/>
        </w:rPr>
      </w:pPr>
      <w:r>
        <w:rPr>
          <w:rFonts w:ascii="Times New Roman" w:hAnsi="Times New Roman"/>
          <w:b/>
          <w:caps w:val="false"/>
          <w:smallCaps w:val="false"/>
          <w:sz w:val="24"/>
        </w:rPr>
        <w:t xml:space="preserve">IN WITNESS WHEREOF, </w:t>
      </w:r>
      <w:r>
        <w:rPr>
          <w:rFonts w:ascii="Times New Roman" w:hAnsi="Times New Roman"/>
          <w:caps w:val="false"/>
          <w:smallCaps w:val="false"/>
          <w:sz w:val="24"/>
        </w:rPr>
        <w:t>Holders and the Company have executed this Agreement as of the date set forth on the first page of this Agreement.</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28" w:type="dxa"/>
          <w:left w:w="28" w:type="dxa"/>
          <w:bottom w:w="28" w:type="dxa"/>
          <w:right w:w="28" w:type="dxa"/>
        </w:tblCellMar>
      </w:tblPr>
      <w:tblGrid>
        <w:gridCol w:w="3601"/>
        <w:gridCol w:w="146"/>
        <w:gridCol w:w="451"/>
        <w:gridCol w:w="1066"/>
        <w:gridCol w:w="191"/>
      </w:tblGrid>
      <w:tr>
        <w:trPr/>
        <w:tc>
          <w:tcPr>
            <w:tcW w:w="3601" w:type="dxa"/>
            <w:tcBorders/>
            <w:vAlign w:val="center"/>
          </w:tcPr>
          <w:p>
            <w:pPr>
              <w:pStyle w:val="TableContents"/>
              <w:bidi w:val="0"/>
              <w:spacing w:before="0" w:after="0"/>
              <w:ind w:left="540" w:right="0" w:hanging="0"/>
              <w:jc w:val="left"/>
              <w:rPr>
                <w:rFonts w:ascii="Times New Roman" w:hAnsi="Times New Roman"/>
                <w:b/>
                <w:sz w:val="24"/>
              </w:rPr>
            </w:pPr>
            <w:r>
              <w:rPr>
                <w:rFonts w:ascii="Times New Roman" w:hAnsi="Times New Roman"/>
                <w:b/>
                <w:sz w:val="24"/>
              </w:rPr>
              <w:t>Wire Instructions for Repurchase </w:t>
            </w:r>
          </w:p>
          <w:p>
            <w:pPr>
              <w:pStyle w:val="TableContents"/>
              <w:bidi w:val="0"/>
              <w:spacing w:before="0" w:after="0"/>
              <w:ind w:left="540" w:right="0" w:hanging="0"/>
              <w:jc w:val="left"/>
              <w:rPr>
                <w:rFonts w:ascii="Times New Roman" w:hAnsi="Times New Roman"/>
                <w:b/>
                <w:sz w:val="24"/>
              </w:rPr>
            </w:pPr>
            <w:r>
              <w:rPr>
                <w:rFonts w:ascii="Times New Roman" w:hAnsi="Times New Roman"/>
                <w:b/>
                <w:sz w:val="24"/>
              </w:rPr>
              <w:t>Transaction:</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283"/>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HOLDER:</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283"/>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540" w:right="0" w:hanging="0"/>
              <w:jc w:val="left"/>
              <w:rPr>
                <w:caps w:val="false"/>
                <w:smallCaps w:val="false"/>
              </w:rPr>
            </w:pPr>
            <w:r>
              <w:rPr>
                <w:caps w:val="false"/>
                <w:smallCaps w:val="false"/>
              </w:rPr>
              <w:t> </w:t>
            </w:r>
          </w:p>
        </w:tc>
        <w:tc>
          <w:tcPr>
            <w:tcW w:w="146" w:type="dxa"/>
            <w:tcBorders/>
            <w:vAlign w:val="center"/>
          </w:tcPr>
          <w:p>
            <w:pPr>
              <w:pStyle w:val="TableContents"/>
              <w:bidi w:val="0"/>
              <w:spacing w:before="0" w:after="0"/>
              <w:ind w:left="0" w:right="0" w:hanging="0"/>
              <w:jc w:val="left"/>
              <w:rPr/>
            </w:pPr>
            <w:r>
              <w:rPr/>
              <w:t> </w:t>
            </w:r>
          </w:p>
        </w:tc>
        <w:tc>
          <w:tcPr>
            <w:tcW w:w="1708" w:type="dxa"/>
            <w:gridSpan w:val="3"/>
            <w:tcBorders/>
            <w:vAlign w:val="center"/>
          </w:tcPr>
          <w:p>
            <w:pPr>
              <w:pStyle w:val="TableContents"/>
              <w:bidi w:val="0"/>
              <w:spacing w:before="0" w:after="283"/>
              <w:ind w:left="0" w:right="0" w:hanging="0"/>
              <w:jc w:val="left"/>
              <w:rPr>
                <w:rFonts w:ascii="Times New Roman" w:hAnsi="Times New Roman"/>
                <w:caps w:val="false"/>
                <w:smallCaps w:val="false"/>
                <w:sz w:val="24"/>
              </w:rPr>
            </w:pPr>
            <w:r>
              <w:rPr>
                <w:rFonts w:ascii="Times New Roman" w:hAnsi="Times New Roman"/>
                <w:caps w:val="false"/>
                <w:smallCaps w:val="false"/>
                <w:sz w:val="24"/>
              </w:rPr>
              <w:t>By: [*]</w:t>
            </w:r>
          </w:p>
        </w:tc>
      </w:tr>
      <w:tr>
        <w:trPr/>
        <w:tc>
          <w:tcPr>
            <w:tcW w:w="3601" w:type="dxa"/>
            <w:tcBorders/>
            <w:vAlign w:val="center"/>
          </w:tcPr>
          <w:p>
            <w:pPr>
              <w:pStyle w:val="TableContents"/>
              <w:bidi w:val="0"/>
              <w:spacing w:before="0" w:after="0"/>
              <w:ind w:left="0" w:right="0" w:firstLine="540"/>
              <w:jc w:val="left"/>
              <w:rPr>
                <w:rFonts w:ascii="Times New Roman" w:hAnsi="Times New Roman"/>
                <w:sz w:val="24"/>
              </w:rPr>
            </w:pPr>
            <w:r>
              <w:rPr>
                <w:rFonts w:ascii="Times New Roman" w:hAnsi="Times New Roman"/>
                <w:sz w:val="24"/>
              </w:rPr>
              <w:t>[*]</w:t>
            </w:r>
          </w:p>
        </w:tc>
        <w:tc>
          <w:tcPr>
            <w:tcW w:w="146" w:type="dxa"/>
            <w:tcBorders/>
            <w:vAlign w:val="center"/>
          </w:tcPr>
          <w:p>
            <w:pPr>
              <w:pStyle w:val="TableContents"/>
              <w:bidi w:val="0"/>
              <w:spacing w:before="0" w:after="0"/>
              <w:ind w:left="0" w:right="0" w:hanging="0"/>
              <w:jc w:val="left"/>
              <w:rPr/>
            </w:pPr>
            <w:r>
              <w:rPr/>
              <w:t> </w:t>
            </w:r>
          </w:p>
        </w:tc>
        <w:tc>
          <w:tcPr>
            <w:tcW w:w="1708" w:type="dxa"/>
            <w:gridSpan w:val="3"/>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540" w:right="0" w:hanging="0"/>
              <w:jc w:val="left"/>
              <w:rPr>
                <w:rFonts w:ascii="Times New Roman" w:hAnsi="Times New Roman"/>
                <w:sz w:val="24"/>
              </w:rPr>
            </w:pPr>
            <w:r>
              <w:rPr>
                <w:rFonts w:ascii="Times New Roman" w:hAnsi="Times New Roman"/>
                <w:sz w:val="24"/>
              </w:rPr>
              <w:t>[*]</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By:</w:t>
            </w:r>
          </w:p>
        </w:tc>
        <w:tc>
          <w:tcPr>
            <w:tcW w:w="10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firstLine="540"/>
              <w:jc w:val="left"/>
              <w:rPr>
                <w:rFonts w:ascii="Times New Roman" w:hAnsi="Times New Roman"/>
                <w:sz w:val="24"/>
              </w:rPr>
            </w:pPr>
            <w:r>
              <w:rPr>
                <w:rFonts w:ascii="Times New Roman" w:hAnsi="Times New Roman"/>
                <w:sz w:val="24"/>
              </w:rPr>
              <w:t>[*]</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Name: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540" w:right="0" w:hanging="0"/>
              <w:jc w:val="left"/>
              <w:rPr>
                <w:rFonts w:ascii="Times New Roman" w:hAnsi="Times New Roman"/>
                <w:sz w:val="24"/>
              </w:rPr>
            </w:pPr>
            <w:r>
              <w:rPr>
                <w:rFonts w:ascii="Times New Roman" w:hAnsi="Times New Roman"/>
                <w:sz w:val="24"/>
              </w:rPr>
              <w:t>Routing #: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283"/>
              <w:jc w:val="left"/>
              <w:rPr>
                <w:rFonts w:ascii="Times New Roman" w:hAnsi="Times New Roman"/>
                <w:sz w:val="24"/>
              </w:rPr>
            </w:pPr>
            <w:r>
              <w:rPr>
                <w:rFonts w:ascii="Times New Roman" w:hAnsi="Times New Roman"/>
                <w:sz w:val="24"/>
              </w:rPr>
              <w:t>Title: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540" w:right="0" w:hanging="0"/>
              <w:jc w:val="left"/>
              <w:rPr>
                <w:rFonts w:ascii="Times New Roman" w:hAnsi="Times New Roman"/>
                <w:sz w:val="24"/>
              </w:rPr>
            </w:pPr>
            <w:r>
              <w:rPr>
                <w:rFonts w:ascii="Times New Roman" w:hAnsi="Times New Roman"/>
                <w:sz w:val="24"/>
              </w:rPr>
              <w:t>Account name: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540" w:right="0" w:hanging="0"/>
              <w:jc w:val="left"/>
              <w:rPr>
                <w:rFonts w:ascii="Times New Roman" w:hAnsi="Times New Roman"/>
                <w:sz w:val="24"/>
              </w:rPr>
            </w:pPr>
            <w:r>
              <w:rPr>
                <w:rFonts w:ascii="Times New Roman" w:hAnsi="Times New Roman"/>
                <w:sz w:val="24"/>
              </w:rPr>
              <w:t>Account #: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rFonts w:ascii="Times New Roman" w:hAnsi="Times New Roman"/>
                <w:sz w:val="24"/>
              </w:rPr>
            </w:pPr>
            <w:r>
              <w:rPr>
                <w:rFonts w:ascii="Times New Roman" w:hAnsi="Times New Roman"/>
                <w:sz w:val="24"/>
              </w:rPr>
              <w:t>Address: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8069</Words>
  <Characters>42936</Characters>
  <CharactersWithSpaces>51292</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