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1600" w:hanging="230"/>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5" w:lineRule="exact"/>
        <w:rPr>
          <w:rFonts w:ascii="MS PGothic" w:cs="MS PGothic" w:eastAsia="MS PGothic" w:hAnsi="MS PGothic"/>
          <w:sz w:val="16"/>
          <w:szCs w:val="16"/>
          <w:color w:val="auto"/>
        </w:rPr>
      </w:pPr>
    </w:p>
    <w:p>
      <w:pPr>
        <w:ind w:left="42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quarterly period ended March 31, 2024</w:t>
      </w:r>
    </w:p>
    <w:p>
      <w:pPr>
        <w:spacing w:after="0" w:line="68" w:lineRule="exact"/>
        <w:rPr>
          <w:rFonts w:ascii="MS PGothic" w:cs="MS PGothic" w:eastAsia="MS PGothic" w:hAnsi="MS PGothic"/>
          <w:sz w:val="16"/>
          <w:szCs w:val="16"/>
          <w:color w:val="auto"/>
        </w:rPr>
      </w:pPr>
    </w:p>
    <w:p>
      <w:pPr>
        <w:ind w:left="55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or</w:t>
      </w:r>
    </w:p>
    <w:p>
      <w:pPr>
        <w:spacing w:after="0" w:line="88" w:lineRule="exact"/>
        <w:rPr>
          <w:rFonts w:ascii="MS PGothic" w:cs="MS PGothic" w:eastAsia="MS PGothic" w:hAnsi="MS PGothic"/>
          <w:sz w:val="16"/>
          <w:szCs w:val="16"/>
          <w:color w:val="auto"/>
        </w:rPr>
      </w:pPr>
    </w:p>
    <w:p>
      <w:pPr>
        <w:ind w:left="1620" w:hanging="232"/>
        <w:spacing w:after="0"/>
        <w:tabs>
          <w:tab w:leader="none" w:pos="16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9"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transition period from _________ to _________</w:t>
      </w:r>
    </w:p>
    <w:p>
      <w:pPr>
        <w:spacing w:after="0" w:line="4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6"/>
          <w:szCs w:val="16"/>
          <w:b w:val="1"/>
          <w:bCs w:val="1"/>
          <w:color w:val="auto"/>
        </w:rPr>
        <w:t>001-39826</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37"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1"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6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2" w:lineRule="exact"/>
        <w:rPr>
          <w:sz w:val="24"/>
          <w:szCs w:val="24"/>
          <w:color w:val="auto"/>
        </w:rPr>
      </w:pPr>
    </w:p>
    <w:p>
      <w:pPr>
        <w:sectPr>
          <w:pgSz w:w="11900" w:h="16838" w:orient="portrait"/>
          <w:cols w:equalWidth="0" w:num="2">
            <w:col w:w="7240" w:space="720"/>
            <w:col w:w="3280"/>
          </w:cols>
          <w:pgMar w:left="320" w:top="1299"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0" w:lineRule="exact"/>
        <w:rPr>
          <w:sz w:val="24"/>
          <w:szCs w:val="24"/>
          <w:color w:val="auto"/>
        </w:rPr>
      </w:pPr>
    </w:p>
    <w:p>
      <w:pPr>
        <w:ind w:left="186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Bainbridge Island, Washington</w:t>
      </w:r>
      <w:r>
        <w:rPr>
          <w:sz w:val="20"/>
          <w:szCs w:val="20"/>
          <w:color w:val="auto"/>
        </w:rPr>
        <w:tab/>
      </w:r>
      <w:r>
        <w:rPr>
          <w:rFonts w:ascii="Times New Roman" w:cs="Times New Roman" w:eastAsia="Times New Roman" w:hAnsi="Times New Roman"/>
          <w:sz w:val="13"/>
          <w:szCs w:val="13"/>
          <w:b w:val="1"/>
          <w:bCs w:val="1"/>
          <w:color w:val="auto"/>
        </w:rPr>
        <w:t>98110</w:t>
      </w:r>
    </w:p>
    <w:p>
      <w:pPr>
        <w:spacing w:after="0" w:line="25" w:lineRule="exact"/>
        <w:rPr>
          <w:sz w:val="24"/>
          <w:szCs w:val="24"/>
          <w:color w:val="auto"/>
        </w:rPr>
      </w:pPr>
    </w:p>
    <w:p>
      <w:pPr>
        <w:ind w:left="1820"/>
        <w:spacing w:after="0"/>
        <w:tabs>
          <w:tab w:leader="none" w:pos="8140" w:val="left"/>
        </w:tabs>
        <w:rPr>
          <w:sz w:val="20"/>
          <w:szCs w:val="20"/>
          <w:color w:val="auto"/>
        </w:rPr>
      </w:pPr>
      <w:r>
        <w:rPr>
          <w:rFonts w:ascii="Times New Roman" w:cs="Times New Roman" w:eastAsia="Times New Roman" w:hAnsi="Times New Roman"/>
          <w:sz w:val="13"/>
          <w:szCs w:val="13"/>
          <w:color w:val="auto"/>
        </w:rPr>
        <w:t>(Address of principal executive offices)</w:t>
      </w:r>
      <w:r>
        <w:rPr>
          <w:sz w:val="20"/>
          <w:szCs w:val="20"/>
          <w:color w:val="auto"/>
        </w:rPr>
        <w:tab/>
      </w:r>
      <w:r>
        <w:rPr>
          <w:rFonts w:ascii="Times New Roman" w:cs="Times New Roman" w:eastAsia="Times New Roman" w:hAnsi="Times New Roman"/>
          <w:sz w:val="12"/>
          <w:szCs w:val="12"/>
          <w:color w:val="auto"/>
        </w:rPr>
        <w:t>(Zip Code)</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(206) 414-1777</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6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0"/>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common stock, par value $0.0001 per share</w:t>
            </w: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BNZI</w:t>
            </w:r>
          </w:p>
        </w:tc>
        <w:tc>
          <w:tcPr>
            <w:tcW w:w="2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2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at an exercise price of $11.50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245"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1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3"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$0.0001 par value per share, as of May 10, 2024:</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A Common Stock - 19,322,460 shares</w:t>
      </w:r>
    </w:p>
    <w:p>
      <w:pPr>
        <w:spacing w:after="0" w:line="7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B Common Stock - 2,311,134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720" w:type="dxa"/>
            <w:vAlign w:val="bottom"/>
            <w:tcBorders>
              <w:top w:val="single" w:sz="8" w:color="0000FF"/>
            </w:tcBorders>
            <w:gridSpan w:val="4"/>
          </w:tcPr>
          <w:p>
            <w:pPr>
              <w:spacing w:after="0"/>
              <w:rPr>
                <w:sz w:val="24"/>
                <w:szCs w:val="24"/>
                <w:color w:val="auto"/>
              </w:rPr>
            </w:pPr>
          </w:p>
        </w:tc>
        <w:tc>
          <w:tcPr>
            <w:tcW w:w="704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(Unaudited) and December 31, 2023</w:t>
            </w:r>
          </w:p>
        </w:tc>
        <w:tc>
          <w:tcPr>
            <w:tcW w:w="20" w:type="dxa"/>
            <w:vAlign w:val="bottom"/>
            <w:tcBorders>
              <w:bottom w:val="single" w:sz="8" w:color="0000EE"/>
            </w:tcBorders>
          </w:tcPr>
          <w:p>
            <w:pPr>
              <w:spacing w:after="0"/>
              <w:rPr>
                <w:sz w:val="18"/>
                <w:szCs w:val="18"/>
                <w:color w:val="auto"/>
              </w:rPr>
            </w:pPr>
          </w:p>
        </w:tc>
        <w:tc>
          <w:tcPr>
            <w:tcW w:w="20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months ended March 31, 2024 and 2023</w:t>
            </w:r>
          </w:p>
        </w:tc>
        <w:tc>
          <w:tcPr>
            <w:tcW w:w="20" w:type="dxa"/>
            <w:vAlign w:val="bottom"/>
            <w:tcBorders>
              <w:bottom w:val="single" w:sz="8" w:color="0000EE"/>
            </w:tcBorders>
          </w:tcPr>
          <w:p>
            <w:pPr>
              <w:spacing w:after="0"/>
              <w:rPr>
                <w:sz w:val="18"/>
                <w:szCs w:val="18"/>
                <w:color w:val="auto"/>
              </w:rPr>
            </w:pPr>
          </w:p>
        </w:tc>
        <w:tc>
          <w:tcPr>
            <w:tcW w:w="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Deficit for the three months ended March 31, 2024</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2023</w:t>
            </w:r>
          </w:p>
        </w:tc>
        <w:tc>
          <w:tcPr>
            <w:tcW w:w="20" w:type="dxa"/>
            <w:vAlign w:val="bottom"/>
            <w:tcBorders>
              <w:bottom w:val="single" w:sz="8" w:color="0000EE"/>
            </w:tcBorders>
          </w:tcPr>
          <w:p>
            <w:pPr>
              <w:spacing w:after="0"/>
              <w:rPr>
                <w:sz w:val="17"/>
                <w:szCs w:val="17"/>
                <w:color w:val="auto"/>
              </w:rPr>
            </w:pPr>
          </w:p>
        </w:tc>
        <w:tc>
          <w:tcPr>
            <w:tcW w:w="860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3560" w:type="dxa"/>
            <w:vAlign w:val="bottom"/>
            <w:tcBorders>
              <w:top w:val="single" w:sz="8" w:color="0000FF"/>
            </w:tcBorders>
            <w:gridSpan w:val="6"/>
          </w:tcPr>
          <w:p>
            <w:pPr>
              <w:spacing w:after="0"/>
              <w:rPr>
                <w:sz w:val="18"/>
                <w:szCs w:val="18"/>
                <w:color w:val="auto"/>
              </w:rPr>
            </w:pPr>
          </w:p>
        </w:tc>
        <w:tc>
          <w:tcPr>
            <w:tcW w:w="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1,026,932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2,093,718</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$3,557 and $5,748, respectively</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105,049</w:t>
            </w:r>
          </w:p>
        </w:tc>
        <w:tc>
          <w:tcPr>
            <w:tcW w:w="0" w:type="dxa"/>
            <w:vAlign w:val="bottom"/>
          </w:tcPr>
          <w:p>
            <w:pPr>
              <w:spacing w:after="0"/>
              <w:rPr>
                <w:sz w:val="1"/>
                <w:szCs w:val="1"/>
                <w:color w:val="auto"/>
              </w:rPr>
            </w:pPr>
          </w:p>
        </w:tc>
      </w:tr>
      <w:tr>
        <w:trPr>
          <w:trHeight w:val="175"/>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1,073,914</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741,155</w:t>
            </w:r>
          </w:p>
        </w:tc>
        <w:tc>
          <w:tcPr>
            <w:tcW w:w="0" w:type="dxa"/>
            <w:vAlign w:val="bottom"/>
          </w:tcPr>
          <w:p>
            <w:pPr>
              <w:spacing w:after="0"/>
              <w:rPr>
                <w:sz w:val="1"/>
                <w:szCs w:val="1"/>
                <w:color w:val="auto"/>
              </w:rPr>
            </w:pPr>
          </w:p>
        </w:tc>
      </w:tr>
      <w:tr>
        <w:trPr>
          <w:trHeight w:val="169"/>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2,135,516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2,939,922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2,171,526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2,171,526</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90,308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134,013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38,381</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38,381</w:t>
            </w:r>
          </w:p>
        </w:tc>
        <w:tc>
          <w:tcPr>
            <w:tcW w:w="0" w:type="dxa"/>
            <w:vAlign w:val="bottom"/>
          </w:tcPr>
          <w:p>
            <w:pPr>
              <w:spacing w:after="0"/>
              <w:rPr>
                <w:sz w:val="1"/>
                <w:szCs w:val="1"/>
                <w:color w:val="auto"/>
              </w:rPr>
            </w:pPr>
          </w:p>
        </w:tc>
      </w:tr>
      <w:tr>
        <w:trPr>
          <w:trHeight w:val="169"/>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4,438,811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8,336,909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6,439,863</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3,862,714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5,194,240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Convertible notes (Yorkville)</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3,064,000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1,766,000</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 - related party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2,540,091</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3,709,889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2,693,841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Notes payable</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6,948,710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6,659,787</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Notes payable - related party</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3,082,650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2,505,137</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underwriting fees</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fee</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Warrant liability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233,000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641,000</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liability - related party</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Earnout liability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37,125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59,399</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Due to related party</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67,118</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GEM commitment fee liability</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1,245,306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1,214,096</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158,965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234,043</w:t>
            </w:r>
          </w:p>
        </w:tc>
        <w:tc>
          <w:tcPr>
            <w:tcW w:w="0" w:type="dxa"/>
            <w:vAlign w:val="bottom"/>
          </w:tcPr>
          <w:p>
            <w:pPr>
              <w:spacing w:after="0"/>
              <w:rPr>
                <w:sz w:val="1"/>
                <w:szCs w:val="1"/>
                <w:color w:val="auto"/>
              </w:rPr>
            </w:pPr>
          </w:p>
        </w:tc>
      </w:tr>
      <w:tr>
        <w:trPr>
          <w:trHeight w:val="175"/>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35,206,386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37,089,615</w:t>
            </w: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35,281,386</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37,164,615</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$0.0001 par value, 275,000,000 shares authorized and 20,221,589 and 16,019,256 issued and outstanding at</w:t>
            </w:r>
          </w:p>
        </w:tc>
        <w:tc>
          <w:tcPr>
            <w:tcW w:w="20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185"/>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 (Note 15)</w:t>
            </w:r>
          </w:p>
        </w:tc>
        <w:tc>
          <w:tcPr>
            <w:tcW w:w="200" w:type="dxa"/>
            <w:vAlign w:val="bottom"/>
            <w:shd w:val="clear" w:color="auto" w:fill="CFF0FC"/>
          </w:tcPr>
          <w:p>
            <w:pPr>
              <w:spacing w:after="0"/>
              <w:rPr>
                <w:sz w:val="16"/>
                <w:szCs w:val="16"/>
                <w:color w:val="auto"/>
              </w:rPr>
            </w:pPr>
          </w:p>
        </w:tc>
        <w:tc>
          <w:tcPr>
            <w:tcW w:w="14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0 shares issued and outstanding at March 31, 2024 and</w:t>
            </w:r>
          </w:p>
        </w:tc>
        <w:tc>
          <w:tcPr>
            <w:tcW w:w="200" w:type="dxa"/>
            <w:vAlign w:val="bottom"/>
          </w:tcPr>
          <w:p>
            <w:pPr>
              <w:spacing w:after="0"/>
              <w:rPr>
                <w:sz w:val="12"/>
                <w:szCs w:val="12"/>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20,421,999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14,888,593</w:t>
            </w:r>
          </w:p>
        </w:tc>
        <w:tc>
          <w:tcPr>
            <w:tcW w:w="0" w:type="dxa"/>
            <w:vAlign w:val="bottom"/>
          </w:tcPr>
          <w:p>
            <w:pPr>
              <w:spacing w:after="0"/>
              <w:rPr>
                <w:sz w:val="1"/>
                <w:szCs w:val="1"/>
                <w:color w:val="auto"/>
              </w:rPr>
            </w:pP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(51,266,596 )</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(46,766,324 )</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(30,842,575 )</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(31,876,129 )</w:t>
            </w:r>
          </w:p>
        </w:tc>
        <w:tc>
          <w:tcPr>
            <w:tcW w:w="0" w:type="dxa"/>
            <w:vAlign w:val="bottom"/>
          </w:tcPr>
          <w:p>
            <w:pPr>
              <w:spacing w:after="0"/>
              <w:rPr>
                <w:sz w:val="1"/>
                <w:szCs w:val="1"/>
                <w:color w:val="auto"/>
              </w:rPr>
            </w:pPr>
          </w:p>
        </w:tc>
      </w:tr>
      <w:tr>
        <w:trPr>
          <w:trHeight w:val="169"/>
        </w:trPr>
        <w:tc>
          <w:tcPr>
            <w:tcW w:w="7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4,438,811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-4748530</wp:posOffset>
            </wp:positionV>
            <wp:extent cx="94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-4070985</wp:posOffset>
            </wp:positionV>
            <wp:extent cx="94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-1353820</wp:posOffset>
            </wp:positionV>
            <wp:extent cx="94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-145415</wp:posOffset>
            </wp:positionV>
            <wp:extent cx="94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41"/>
        </w:trPr>
        <w:tc>
          <w:tcPr>
            <w:tcW w:w="7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auto"/>
              </w:rPr>
              <w:t>1,079,472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1,177,061</w:t>
            </w:r>
          </w:p>
        </w:tc>
      </w:tr>
      <w:tr>
        <w:trPr>
          <w:trHeight w:val="243"/>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381,380</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412,226</w:t>
            </w:r>
          </w:p>
        </w:tc>
      </w:tr>
      <w:tr>
        <w:trPr>
          <w:trHeight w:val="237"/>
        </w:trPr>
        <w:tc>
          <w:tcPr>
            <w:tcW w:w="7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698,092</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764,835</w:t>
            </w:r>
          </w:p>
        </w:tc>
      </w:tr>
      <w:tr>
        <w:trPr>
          <w:trHeight w:val="241"/>
        </w:trPr>
        <w:tc>
          <w:tcPr>
            <w:tcW w:w="7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4,308,929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3,170,063</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2,404</w:t>
            </w:r>
          </w:p>
        </w:tc>
      </w:tr>
      <w:tr>
        <w:trPr>
          <w:trHeight w:val="237"/>
        </w:trPr>
        <w:tc>
          <w:tcPr>
            <w:tcW w:w="77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4,310,493</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3,172,467</w:t>
            </w:r>
          </w:p>
        </w:tc>
      </w:tr>
      <w:tr>
        <w:trPr>
          <w:trHeight w:val="241"/>
        </w:trPr>
        <w:tc>
          <w:tcPr>
            <w:tcW w:w="7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32"/>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(3,612,401 )</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(2,407,632 )</w:t>
            </w:r>
          </w:p>
        </w:tc>
      </w:tr>
      <w:tr>
        <w:trPr>
          <w:trHeight w:val="241"/>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(62,538 )</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451,399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537,878</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577,513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383,284</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(527,980 )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issuance</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171,000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22,861</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303,139</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32,415</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 party</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137,285</w:t>
            </w:r>
          </w:p>
        </w:tc>
      </w:tr>
      <w:tr>
        <w:trPr>
          <w:trHeight w:val="243"/>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544,000</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888,804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1,354,213</w:t>
            </w:r>
          </w:p>
        </w:tc>
      </w:tr>
      <w:tr>
        <w:trPr>
          <w:trHeight w:val="23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(4,501,205 )</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(3,761,845 )</w:t>
            </w:r>
          </w:p>
        </w:tc>
      </w:tr>
      <w:tr>
        <w:trPr>
          <w:trHeight w:val="23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3,277</w:t>
            </w:r>
          </w:p>
        </w:tc>
      </w:tr>
      <w:tr>
        <w:trPr>
          <w:trHeight w:val="27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(4,500,272 )</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(3,765,122 )</w:t>
            </w:r>
          </w:p>
        </w:tc>
      </w:tr>
      <w:tr>
        <w:trPr>
          <w:trHeight w:val="228"/>
        </w:trPr>
        <w:tc>
          <w:tcPr>
            <w:tcW w:w="77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(0.59 )</w:t>
            </w:r>
          </w:p>
        </w:tc>
      </w:tr>
      <w:tr>
        <w:trPr>
          <w:trHeight w:val="20"/>
        </w:trPr>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3"/>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17,355,609</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6,382,180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-5408295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-4457065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-4131310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-1653540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-1328420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-1002665</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-985520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8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Series A Preferred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78"/>
              </w:rPr>
              <w:t>l</w:t>
            </w:r>
          </w:p>
        </w:tc>
        <w:tc>
          <w:tcPr>
            <w:tcW w:w="100" w:type="dxa"/>
            <w:vAlign w:val="bottom"/>
          </w:tcPr>
          <w:p>
            <w:pPr>
              <w:spacing w:after="0"/>
              <w:rPr>
                <w:sz w:val="17"/>
                <w:szCs w:val="17"/>
                <w:color w:val="auto"/>
              </w:rPr>
            </w:pPr>
          </w:p>
        </w:tc>
        <w:tc>
          <w:tcPr>
            <w:tcW w:w="1040" w:type="dxa"/>
            <w:vAlign w:val="bottom"/>
            <w:gridSpan w:val="2"/>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00" w:type="dxa"/>
            <w:vAlign w:val="bottom"/>
          </w:tcPr>
          <w:p>
            <w:pPr>
              <w:spacing w:after="0"/>
              <w:rPr>
                <w:sz w:val="17"/>
                <w:szCs w:val="17"/>
                <w:color w:val="auto"/>
              </w:rPr>
            </w:pPr>
          </w:p>
        </w:tc>
        <w:tc>
          <w:tcPr>
            <w:tcW w:w="1060" w:type="dxa"/>
            <w:vAlign w:val="bottom"/>
            <w:gridSpan w:val="2"/>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Stockholde</w:t>
            </w:r>
          </w:p>
        </w:tc>
        <w:tc>
          <w:tcPr>
            <w:tcW w:w="0" w:type="dxa"/>
            <w:vAlign w:val="bottom"/>
          </w:tcPr>
          <w:p>
            <w:pPr>
              <w:spacing w:after="0"/>
              <w:rPr>
                <w:sz w:val="1"/>
                <w:szCs w:val="1"/>
                <w:color w:val="auto"/>
              </w:rPr>
            </w:pPr>
          </w:p>
        </w:tc>
      </w:tr>
      <w:tr>
        <w:trPr>
          <w:trHeight w:val="252"/>
        </w:trPr>
        <w:tc>
          <w:tcPr>
            <w:tcW w:w="374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9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32"/>
        </w:trPr>
        <w:tc>
          <w:tcPr>
            <w:tcW w:w="3740" w:type="dxa"/>
            <w:vAlign w:val="bottom"/>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16,019,25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(46,766,32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(31,876,12</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 - related party</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890,611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2,540,091</w:t>
            </w: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Yorkville for convertible notes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2,233,735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1,667,000</w:t>
            </w:r>
          </w:p>
        </w:tc>
        <w:tc>
          <w:tcPr>
            <w:tcW w:w="0" w:type="dxa"/>
            <w:vAlign w:val="bottom"/>
          </w:tcPr>
          <w:p>
            <w:pPr>
              <w:spacing w:after="0"/>
              <w:rPr>
                <w:sz w:val="1"/>
                <w:szCs w:val="1"/>
                <w:color w:val="auto"/>
              </w:rPr>
            </w:pPr>
          </w:p>
        </w:tc>
      </w:tr>
      <w:tr>
        <w:trPr>
          <w:trHeight w:val="25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to Yorkville for commitment fee</w:t>
            </w: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710,025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499,929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Roth for advisory fee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278,833</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to GEM</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139,470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99,986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marketing expense</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153,492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194,920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194,935</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 of sponsor shares</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252,967</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(4,500,272 )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(4,500,272 )</w:t>
            </w:r>
          </w:p>
        </w:tc>
        <w:tc>
          <w:tcPr>
            <w:tcW w:w="0" w:type="dxa"/>
            <w:vAlign w:val="bottom"/>
          </w:tcPr>
          <w:p>
            <w:pPr>
              <w:spacing w:after="0"/>
              <w:rPr>
                <w:sz w:val="1"/>
                <w:szCs w:val="1"/>
                <w:color w:val="auto"/>
              </w:rPr>
            </w:pPr>
          </w:p>
        </w:tc>
      </w:tr>
      <w:tr>
        <w:trPr>
          <w:trHeight w:val="205"/>
        </w:trPr>
        <w:tc>
          <w:tcPr>
            <w:tcW w:w="37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rPr>
              <w:t>20,221,58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b w:val="1"/>
                <w:bCs w:val="1"/>
                <w:color w:val="auto"/>
              </w:rPr>
              <w:t>20,421,9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99"/>
              </w:rPr>
              <w:t>(51,266,59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99"/>
              </w:rPr>
              <w:t>(30,842,57</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3740" w:type="dxa"/>
            <w:vAlign w:val="bottom"/>
          </w:tcPr>
          <w:p>
            <w:pPr>
              <w:spacing w:after="0"/>
              <w:rPr>
                <w:sz w:val="24"/>
                <w:szCs w:val="24"/>
                <w:color w:val="auto"/>
              </w:rPr>
            </w:pPr>
          </w:p>
        </w:tc>
        <w:tc>
          <w:tcPr>
            <w:tcW w:w="168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Series A Preferred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Additiona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78"/>
              </w:rPr>
              <w:t>l</w:t>
            </w:r>
          </w:p>
        </w:tc>
        <w:tc>
          <w:tcPr>
            <w:tcW w:w="100" w:type="dxa"/>
            <w:vAlign w:val="bottom"/>
          </w:tcPr>
          <w:p>
            <w:pPr>
              <w:spacing w:after="0"/>
              <w:rPr>
                <w:sz w:val="17"/>
                <w:szCs w:val="17"/>
                <w:color w:val="auto"/>
              </w:rPr>
            </w:pPr>
          </w:p>
        </w:tc>
        <w:tc>
          <w:tcPr>
            <w:tcW w:w="1040" w:type="dxa"/>
            <w:vAlign w:val="bottom"/>
            <w:gridSpan w:val="2"/>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00" w:type="dxa"/>
            <w:vAlign w:val="bottom"/>
          </w:tcPr>
          <w:p>
            <w:pPr>
              <w:spacing w:after="0"/>
              <w:rPr>
                <w:sz w:val="17"/>
                <w:szCs w:val="17"/>
                <w:color w:val="auto"/>
              </w:rPr>
            </w:pPr>
          </w:p>
        </w:tc>
        <w:tc>
          <w:tcPr>
            <w:tcW w:w="1060" w:type="dxa"/>
            <w:vAlign w:val="bottom"/>
            <w:gridSpan w:val="2"/>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Stockholde</w:t>
            </w:r>
          </w:p>
        </w:tc>
        <w:tc>
          <w:tcPr>
            <w:tcW w:w="0" w:type="dxa"/>
            <w:vAlign w:val="bottom"/>
          </w:tcPr>
          <w:p>
            <w:pPr>
              <w:spacing w:after="0"/>
              <w:rPr>
                <w:sz w:val="1"/>
                <w:szCs w:val="1"/>
                <w:color w:val="auto"/>
              </w:rPr>
            </w:pPr>
          </w:p>
        </w:tc>
      </w:tr>
      <w:tr>
        <w:trPr>
          <w:trHeight w:val="252"/>
        </w:trPr>
        <w:tc>
          <w:tcPr>
            <w:tcW w:w="374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9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8,245,35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(32,360,06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(24,114,05</w:t>
            </w:r>
          </w:p>
        </w:tc>
        <w:tc>
          <w:tcPr>
            <w:tcW w:w="0" w:type="dxa"/>
            <w:vAlign w:val="bottom"/>
          </w:tcPr>
          <w:p>
            <w:pPr>
              <w:spacing w:after="0"/>
              <w:rPr>
                <w:sz w:val="1"/>
                <w:szCs w:val="1"/>
                <w:color w:val="auto"/>
              </w:rPr>
            </w:pPr>
          </w:p>
        </w:tc>
      </w:tr>
      <w:tr>
        <w:trPr>
          <w:trHeight w:val="248"/>
        </w:trPr>
        <w:tc>
          <w:tcPr>
            <w:tcW w:w="37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6,445,599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402,448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402,448</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(3,765,122 )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(3,765,122 )</w:t>
            </w: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0"/>
              <w:spacing w:after="0" w:line="205" w:lineRule="exact"/>
              <w:rPr>
                <w:sz w:val="20"/>
                <w:szCs w:val="20"/>
                <w:color w:val="auto"/>
              </w:rPr>
            </w:pPr>
            <w:r>
              <w:rPr>
                <w:rFonts w:ascii="Times New Roman" w:cs="Times New Roman" w:eastAsia="Times New Roman" w:hAnsi="Times New Roman"/>
                <w:sz w:val="18"/>
                <w:szCs w:val="18"/>
                <w:b w:val="1"/>
                <w:bCs w:val="1"/>
                <w:color w:val="auto"/>
              </w:rPr>
              <w:t>8,653,34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99"/>
              </w:rPr>
              <w:t>(36,125,18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99"/>
              </w:rPr>
              <w:t>(27,471,18</w:t>
            </w:r>
          </w:p>
        </w:tc>
        <w:tc>
          <w:tcPr>
            <w:tcW w:w="0" w:type="dxa"/>
            <w:vAlign w:val="bottom"/>
          </w:tcPr>
          <w:p>
            <w:pPr>
              <w:spacing w:after="0"/>
              <w:rPr>
                <w:sz w:val="1"/>
                <w:szCs w:val="1"/>
                <w:color w:val="auto"/>
              </w:rPr>
            </w:pPr>
          </w:p>
        </w:tc>
      </w:tr>
      <w:tr>
        <w:trPr>
          <w:trHeight w:val="285"/>
        </w:trPr>
        <w:tc>
          <w:tcPr>
            <w:tcW w:w="37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6,454,137</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646</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-2270760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-2270760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-2270760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-2270760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-2270760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-2270760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700" w:type="dxa"/>
            <w:vAlign w:val="bottom"/>
            <w:tcBorders>
              <w:bottom w:val="single" w:sz="8" w:color="auto"/>
            </w:tcBorders>
          </w:tcPr>
          <w:p>
            <w:pPr>
              <w:spacing w:after="0"/>
              <w:rPr>
                <w:sz w:val="14"/>
                <w:szCs w:val="14"/>
                <w:color w:val="auto"/>
              </w:rPr>
            </w:pPr>
          </w:p>
        </w:tc>
      </w:tr>
      <w:tr>
        <w:trPr>
          <w:trHeight w:val="157"/>
        </w:trPr>
        <w:tc>
          <w:tcPr>
            <w:tcW w:w="7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3"/>
                <w:szCs w:val="13"/>
                <w:color w:val="auto"/>
              </w:rPr>
            </w:pP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(4,500,272 )</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(3,765,122 )</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expense</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1,564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2,404</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credit losses on accounts receivable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(2,191 )</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(68,285 )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share issuance for marketing expenses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48,734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settlement of GEM commitment fee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374,944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151,316</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Non-cash interest expense - related party</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87,758</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90,422</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30,027</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149,798</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debt discount and issuance costs - related party</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489,755</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292,862</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43,705</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43,086</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252,967</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402,448</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(527,980 )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Loss on debt issuance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171,000</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(408,000 )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 - related party</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(115,000 )</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simple agreement for future equity</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22,861</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simple agreement for future equity - related party</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303,139</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bifurcated embedded derivative liabilities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32,415</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Change in fair value of bifurcated embedded derivative liabilities - related party</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137,285</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in fair value of convertible promissory notes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544,000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72,570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74,946</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(186,558 )</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(31,969 )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offering costs</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(127,054 )</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1,897,046</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1,175,710</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revenue</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31,210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103,164</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expenses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(524,713 )</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(200,224 )</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(75,078 )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(68,373 )</w:t>
            </w:r>
          </w:p>
        </w:tc>
      </w:tr>
      <w:tr>
        <w:trPr>
          <w:trHeight w:val="162"/>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Earnout liability</w:t>
            </w:r>
          </w:p>
        </w:tc>
        <w:tc>
          <w:tcPr>
            <w:tcW w:w="9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(22,274 )</w:t>
            </w:r>
          </w:p>
        </w:tc>
        <w:tc>
          <w:tcPr>
            <w:tcW w:w="1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(200,000 )</w:t>
            </w:r>
          </w:p>
        </w:tc>
      </w:tr>
      <w:tr>
        <w:trPr>
          <w:trHeight w:val="155"/>
        </w:trPr>
        <w:tc>
          <w:tcPr>
            <w:tcW w:w="77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(2,116,786 )</w:t>
            </w:r>
          </w:p>
        </w:tc>
        <w:tc>
          <w:tcPr>
            <w:tcW w:w="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(1,479,171 )</w:t>
            </w: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GEM commitment fee</w:t>
            </w:r>
          </w:p>
        </w:tc>
        <w:tc>
          <w:tcPr>
            <w:tcW w:w="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(1,200,000 )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convertible notes, net of issuance costs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2,250,000</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convertible notes, net of issuance costs - related party</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1,500,000</w:t>
            </w:r>
          </w:p>
        </w:tc>
      </w:tr>
      <w:tr>
        <w:trPr>
          <w:trHeight w:val="162"/>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9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5,543</w:t>
            </w:r>
          </w:p>
        </w:tc>
      </w:tr>
      <w:tr>
        <w:trPr>
          <w:trHeight w:val="15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1,050,000</w:t>
            </w:r>
          </w:p>
        </w:tc>
        <w:tc>
          <w:tcPr>
            <w:tcW w:w="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1,505,543</w:t>
            </w: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 increase in cash</w:t>
            </w:r>
          </w:p>
        </w:tc>
        <w:tc>
          <w:tcPr>
            <w:tcW w:w="9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(1,066,786 )</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26,372</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9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2,093,718</w:t>
            </w:r>
          </w:p>
        </w:tc>
        <w:tc>
          <w:tcPr>
            <w:tcW w:w="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1,023,499</w:t>
            </w:r>
          </w:p>
        </w:tc>
      </w:tr>
      <w:tr>
        <w:trPr>
          <w:trHeight w:val="19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at end of period</w:t>
            </w:r>
          </w:p>
        </w:tc>
        <w:tc>
          <w:tcPr>
            <w:tcW w:w="980" w:type="dxa"/>
            <w:vAlign w:val="bottom"/>
            <w:shd w:val="clear" w:color="auto" w:fill="CFF0FC"/>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1,026,932</w:t>
            </w: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1,049,871</w:t>
            </w:r>
          </w:p>
        </w:tc>
      </w:tr>
      <w:tr>
        <w:trPr>
          <w:trHeight w:val="143"/>
        </w:trPr>
        <w:tc>
          <w:tcPr>
            <w:tcW w:w="77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44,814</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234,336</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Non-cash investing and financing activities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Roth for advisory fee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278,833</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to GEM</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for marketing services</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194,935</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of GEM commitment fee</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to Yorkville for commitment fee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500,000</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promissory note - GEM</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1,000,000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 - Yorkville</w:t>
            </w: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1,667,000</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 - related party</w:t>
            </w:r>
          </w:p>
        </w:tc>
        <w:tc>
          <w:tcPr>
            <w:tcW w:w="9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2,540,091</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-2229485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-1595120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-1158240</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-1141095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Close of the Merger</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“Closing Date”), 7GC &amp; Co. Holdings Inc. ("7GC"), our predecessor company, consummated the business combination pursuant to the Agreement and Plan of Merger and Reorganization, dated as of December 8, 2022 (the “Original Merger Agreement”), by and among 7GC, Banzai International, Inc. (“Legacy Banzai”), 7GC Merger Sub I, Inc., an indirect wholly owned subsidiary of 7GC (“First Merger Sub”), and 7GC Merger Sub II, LLC,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“Merger”). On the Closing Date, and in connection with the closing of the Merger (the “Closing”), 7GC changed its name to Banzai International, Inc.</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7GC was the legal acquirer of Legacy Banzai in the merger, Legacy Banzai is deemed to be the accounting acquirer, and the historical financial statements of Legacy Banzai became the basis for the historical financial statements of the Company upon the closing of the merger.</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the financial statements included here reflect (i) the historical operating results of Legacy Banzai prior to the merger; (ii) the combined results of 7GC and Legacy Banzai following the close of the merger; (iii) the assets and liabilities of Legacy Banzai at their historical cost and (iv) the Legacy Banzai’s equity structure for all periods presented, as affected by the recapitalization presentation after completion of the merger.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aggregate consideration payable to securityholders of Legacy Banzai at the Closing consisted of a number of shares of Class A Common Stock or shares of Class B Common Stock, and cash in lieu of any fractional shares of Class A Common Stock or shares of Class B Common Stock that would otherwise have been payable to any Legacy Banzai securityholders, equal to $100,000,000. See </w:t>
      </w:r>
      <w:r>
        <w:rPr>
          <w:rFonts w:ascii="Times New Roman" w:cs="Times New Roman" w:eastAsia="Times New Roman" w:hAnsi="Times New Roman"/>
          <w:sz w:val="18"/>
          <w:szCs w:val="18"/>
          <w:i w:val="1"/>
          <w:iCs w:val="1"/>
          <w:color w:val="auto"/>
        </w:rPr>
        <w:t>Note 4 - Reverse Merger Capitalization with 7GC &amp; 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Holdings Inc. </w:t>
      </w:r>
      <w:r>
        <w:rPr>
          <w:rFonts w:ascii="Times New Roman" w:cs="Times New Roman" w:eastAsia="Times New Roman" w:hAnsi="Times New Roman"/>
          <w:sz w:val="18"/>
          <w:szCs w:val="18"/>
          <w:color w:val="auto"/>
        </w:rPr>
        <w:t>for further details of the merger.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cash of approximately $1.0 million. For the three months ended March 31, 2024, the Company used approximately $2.1 million in cash for operating activities. The Company has incurred recurring net losses from operations and negative cash flows from operating activities since inception. As of March 31, 2024, the Company had an accumulated deficit of approximately $51.3 million. These factors raise substantial doubt regarding the Company’s ability to continue as a going concern within one year of the date these financial statements were issued.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and equity financings associated with the close of the Merger described in </w:t>
      </w:r>
      <w:r>
        <w:rPr>
          <w:rFonts w:ascii="Times New Roman" w:cs="Times New Roman" w:eastAsia="Times New Roman" w:hAnsi="Times New Roman"/>
          <w:sz w:val="18"/>
          <w:szCs w:val="18"/>
          <w:i w:val="1"/>
          <w:iCs w:val="1"/>
          <w:color w:val="auto"/>
        </w:rPr>
        <w:t>Note 4 - Reverse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Capitalization with 7GC &amp; Co. Holdings Inc.. </w:t>
      </w:r>
      <w:r>
        <w:rPr>
          <w:rFonts w:ascii="Times New Roman" w:cs="Times New Roman" w:eastAsia="Times New Roman" w:hAnsi="Times New Roman"/>
          <w:sz w:val="18"/>
          <w:szCs w:val="18"/>
          <w:color w:val="auto"/>
        </w:rPr>
        <w:t>If the Company is unsuccessful in completing these planned transactions, it may be required to reduce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unaudited condensed consolidated financial statements have been prepared assuming that the Company will continue as a going concern and do not include any adjustments that might result from the outcome of this uncertainty.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2023 balance sheet information was derived from the audited financial statements as of that date. Except as disclosed herein, there has been no material change in the information disclosed in the notes to the consolidated financial statements for the year ended December 31, 2023 included in the Company’s Annual Report on Form 10-K, as filed with the Securities and Exchange Commission on April 1, 2024.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three months ended March 31, 2024 are not necessarily indicative of the results that may be expected for the year ending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Public Warrants are recognized as derivative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2"/>
        </w:trPr>
        <w:tc>
          <w:tcPr>
            <w:tcW w:w="7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41"/>
        </w:trPr>
        <w:tc>
          <w:tcPr>
            <w:tcW w:w="7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(4,500,272 )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(3,765,122 )</w:t>
            </w: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18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17,355,609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6,382,180</w:t>
            </w: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(0.59 )</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position that could potentially be dilutive in future periods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24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40" w:type="dxa"/>
            <w:vAlign w:val="bottom"/>
            <w:tcBorders>
              <w:bottom w:val="single" w:sz="8" w:color="auto"/>
            </w:tcBorders>
          </w:tcPr>
          <w:p>
            <w:pPr>
              <w:spacing w:after="0"/>
              <w:rPr>
                <w:sz w:val="21"/>
                <w:szCs w:val="21"/>
                <w:color w:val="auto"/>
              </w:rPr>
            </w:pPr>
          </w:p>
        </w:tc>
      </w:tr>
      <w:tr>
        <w:trPr>
          <w:trHeight w:val="241"/>
        </w:trPr>
        <w:tc>
          <w:tcPr>
            <w:tcW w:w="7700" w:type="dxa"/>
            <w:vAlign w:val="bottom"/>
          </w:tcPr>
          <w:p>
            <w:pPr>
              <w:spacing w:after="0"/>
              <w:rPr>
                <w:sz w:val="20"/>
                <w:szCs w:val="20"/>
                <w:color w:val="auto"/>
              </w:rPr>
            </w:pPr>
          </w:p>
        </w:tc>
        <w:tc>
          <w:tcPr>
            <w:tcW w:w="17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801,372</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670,247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11,500,000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GEM warrants</w:t>
            </w: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828,533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13,129,905</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670,247</w:t>
            </w:r>
          </w:p>
        </w:tc>
      </w:tr>
      <w:tr>
        <w:trPr>
          <w:trHeight w:val="20"/>
        </w:trPr>
        <w:tc>
          <w:tcPr>
            <w:tcW w:w="77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85" w:lineRule="exact"/>
        <w:rPr>
          <w:sz w:val="20"/>
          <w:szCs w:val="20"/>
          <w:color w:val="auto"/>
        </w:rPr>
      </w:pPr>
    </w:p>
    <w:p>
      <w:pPr>
        <w:ind w:left="5580" w:right="1780" w:hanging="5570"/>
        <w:spacing w:after="0" w:line="282" w:lineRule="auto"/>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months ended March 31, 2024 and 2023. The carrying amount of cash, accounts receivable, prepaid expenses and other current assets, accounts payable, accrued expenses, deferred revenue, and other current liabilities approximated their fair values as of March 31, 2024 and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(Topic 740), Improvements to income tax disclosures,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condensed consolidated financial statements.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update intend to improve reportable segment disclosure requirements primarily through enhanced disclosures about significant segment expenses. This ASU requires disclosure of significant segment expenses that are regularly provided to the chief operating decision maker, the addition of a category for other segment items by reportable segment, that all annual segment disclosures be disclosed in interim periods, and other related segment disclosures. The ASU is effective for fiscal years beginning after December 15, 2023, and interim periods within fiscal years beginning after December 15, 2024. The Company is currently evaluating the effect of adopting this guidance on its condensed consolidated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Merger Capitalization with 7GC &amp; Co. Holdings Inc.</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"Closing Date"), Banzai consummated the previously announced Merger with 7GC, as a result of which Banzai became a wholly-owned subsidiary of 7GC. While 7GC was the legal acquirer of Banzai in the merger, for accounting purposes, Legacy Banzai was deemed to be the accounting acquirer in the merger. The determination was primarily based on Legacy Banzai’s stockholders having a majority of the voting power in the combined Company, Legacy Banzai having the ability to appoint a majority of the Board of Directors of the Company, Legacy Banzai’s existing management team comprising the senior management of the combined Company, Legacy Banzai comprising the ongoing operations of the combined Company and the combined Company assumed the name “Banzai International, Inc.”. Accordingly, for accounting purposes, the merger was treated as the equivalent of Legacy Banzai issuing stock for the net assets of 7GC, accompanied by a recapitalization. The net assets of 7GC are stated at historical cost, with no goodwill or other intangible assets recorded.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Restatement for Conversion of Common Stock and Series A Preferred Stock by Applying Exchange Ratio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holders of Legacy Banzai common stock and Series A preferred stock received shares of common stock in an amount determined by application of the Exchange Ratio. In accordance with guidance applicable to these circumstances, the equity structure has been restated in all comparable periods, prior to the merger, up to December 14, 2023, to reflect the number of shares of the Company’s common stock, $0.0001 par value per share, issued to Legacy Banzai’s stockholders in connection with the merger. As such, the shares and corresponding capital amounts and earnings per share related to Legacy Banzai’s outstanding Series A preferred stock and Legacy Banzai’s common stock prior to the merger have been retroactively restated as shares reflecting the exchange ratio of approximately 0.6147 established in the merger. Legacy Banzai’s Series A preferred stock previously classified as temporary equity was retroactively adjusted, converted into common stock and reclassified to permanent equity as a result of the reverse recapitalization. The consolidated assets, liabilities, and results of operations prior to the merger are those of Legacy Banzai.</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consideration payable to securityholders of Banzai at the Closing Date was equal to $100,000,000. Holders of 3,207,428 shares of 7GC's Class A common stock, par value $0.0001 per share ("7GC Class A Common Stock"), exercised their right to redeem their shares for cash at a redemption price of approximately $10.76 per share, for an aggregate redemption amount of $34,524,065. Immediately prior to the Closing Date, each share of Banzai's Preferred Stock that was issued and outstanding was automatically converted into one share of Banzai's Class A Common Stock, par value $0.0001 per share. Each share of Banzai's Class B Common Stock that was not held by the Chief Executive Officer of the Company converted to one share of Banzai's Class A Common Stock, while the Chief Executive Officer received Class B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Second Effective Time, each share of common stock of the Surviving Corporation issued and outstanding immediately prior to the Second Effective Time was cancelled and no consideration was delivered therefore.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350,000,000 shares, consisting of 250,000,000 shares of Class A Common Stock, 25,000,000 shares of Class B Common Stock, and 75,000,000 shares of Preferred Stock, all having a par value of $0.0001 per share. As of March 31, 2024, there were 20,221,589 shares of Common Stock and no shares of Preferred Stock outstanding.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Merger on Class A and Class B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Close of the Merger, holders of Legacy Banzai common stock and Series A preferred stock were converted into shares of common stock in an amount determined by application of the Exchange Ratio. As noted above, the equity structure has been restated in all comparable periods, prior to the Merger, up to December 14, 2023, to reflect the number of shares of the Company’s common stock, $0.0001 par value per share, issued to Legacy Banzai’s stockholders in connection with the Merger.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7GC Related Party Promissory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2022, 7GC issued an unsecured promissory note (the "December 2022 7GC Note") to the Sponsor, 7GC &amp; Co. Holdings LLC, which provides for borrowings from time to time of up to an aggregate of $2,300,000. The December 2022 7GC Note does not bear interest. Upon the consummation of a Business Combination, the Sponsor shall have the option, but not the obligation, to convert the principal balance of the December 2022 7GC Note, in whole or in part, into that number of shares of Class A common stock, $0.0001 par value per share, of 7GC (the “Converted Shares”) equal to the principal amount of the December 2022 7GC Note so converted divided by $10.00.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2023, 7GC issued an additional unsecured promissory note (the "October 2023 7GC Note", together with the December 2022 7GC Note, the</w:t>
      </w:r>
    </w:p>
    <w:p>
      <w:pPr>
        <w:spacing w:after="0" w:line="27" w:lineRule="exact"/>
        <w:rPr>
          <w:sz w:val="20"/>
          <w:szCs w:val="20"/>
          <w:color w:val="auto"/>
        </w:rPr>
      </w:pPr>
    </w:p>
    <w:p>
      <w:pPr>
        <w:jc w:val="both"/>
        <w:ind w:firstLine="8"/>
        <w:spacing w:after="0" w:line="253" w:lineRule="auto"/>
        <w:tabs>
          <w:tab w:leader="none" w:pos="1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7GC Promissory Notes") to the Sponsor, which provides for borrowings from time to time of up to an aggregate of $500,000 for working capital purposes. The October 2023 7GC Note does not bear interest. Upon the consummation of a Business Combination, the Sponsor shall have the option, but not the obligation, to convert the principal balance of the October 2023 7GC Note, in whole or in part, into that number of the Converted Shares, equal to the principal amount of the October 2023 7GC Note so converted divided by $10.00.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Closing of the Merger, Banzai assumed the 7GC Promissory Notes which subsequently converted on February 2, 2024. At the date of conversion, the total balance of the Notes converted was $2,540,092.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Sponsor paid certain expenses on behalf of 7GC. Upon Closing of the Merger, Banzai assumed the $67,118 liability. As of March 31, 2024, the entire balance remained outstanding and is included within due to related party under current liabilities on the accompanying unaudited condensed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within the SOW’s and invoices, agreements range from monthly to annual and Banzai generally provides for net 30-day payment terms with the payment made directly through check or electronic means.</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Banzai’s Management believes its exposure to credit risk is sufficiently mitigated by collection through credit card sales or direct payment from established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0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18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582,827</w:t>
            </w: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669,775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386,250</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407,910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110,395</w:t>
            </w: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99,376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1,079,472</w:t>
            </w:r>
          </w:p>
        </w:tc>
        <w:tc>
          <w:tcPr>
            <w:tcW w:w="12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1,177,061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Closing</w:t>
            </w:r>
          </w:p>
        </w:tc>
      </w:tr>
      <w:tr>
        <w:trPr>
          <w:trHeight w:val="238"/>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50"/>
        </w:trPr>
        <w:tc>
          <w:tcPr>
            <w:tcW w:w="5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3/31/2023</w:t>
            </w: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105,049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34,670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68,416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61,755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Sales commissions, the principal costs incurred to obtain a contract, are earned when the contract is executed. Management has capitalized these costs and amortized the commission expense over time in accordance with the related contract's term. For the three</w:t>
      </w: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months ended March 31, 2024 and 2023, commission expenses were $82,142 and $99,376, respectively. Capitalized commissions at March 31, 2024 and December 31, 2023 were $38,462 and $51,472, respectively, and are included within prepaid expenses and other current assets on the condensed 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three months ended March 31, 2024:</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31,610</w:t>
            </w:r>
          </w:p>
        </w:tc>
        <w:tc>
          <w:tcPr>
            <w:tcW w:w="0" w:type="dxa"/>
            <w:vAlign w:val="bottom"/>
          </w:tcPr>
          <w:p>
            <w:pPr>
              <w:spacing w:after="0"/>
              <w:rPr>
                <w:sz w:val="1"/>
                <w:szCs w:val="1"/>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(44,620 )</w:t>
            </w:r>
          </w:p>
        </w:tc>
        <w:tc>
          <w:tcPr>
            <w:tcW w:w="0" w:type="dxa"/>
            <w:vAlign w:val="bottom"/>
          </w:tcPr>
          <w:p>
            <w:pPr>
              <w:spacing w:after="0"/>
              <w:rPr>
                <w:sz w:val="1"/>
                <w:szCs w:val="1"/>
                <w:color w:val="auto"/>
              </w:rPr>
            </w:pP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2024</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38,462</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three months ended March 31, 2023:</w:t>
            </w: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69,737</w:t>
            </w: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88,928</w:t>
            </w:r>
          </w:p>
        </w:tc>
        <w:tc>
          <w:tcPr>
            <w:tcW w:w="0" w:type="dxa"/>
            <w:vAlign w:val="bottom"/>
          </w:tcPr>
          <w:p>
            <w:pPr>
              <w:spacing w:after="0"/>
              <w:rPr>
                <w:sz w:val="1"/>
                <w:szCs w:val="1"/>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(104,289 )</w:t>
            </w:r>
          </w:p>
        </w:tc>
        <w:tc>
          <w:tcPr>
            <w:tcW w:w="0" w:type="dxa"/>
            <w:vAlign w:val="bottom"/>
          </w:tcPr>
          <w:p>
            <w:pPr>
              <w:spacing w:after="0"/>
              <w:rPr>
                <w:sz w:val="1"/>
                <w:szCs w:val="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2023</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54,376</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three months ended March 31, 2024 and the year ended December 31, 2023. The carrying amount of accounts payable approximated fair value as they are short term in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Non-recurring Basis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non-financial assets measured at fair value on a non-recurring basis, classified as Level 3 in the fair value hierarchy, is determined based on using market-based approaches, or estimates of discounted expected future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and Level 2 measurements. The estimated fair value of the convertible notes bifurcated embedded derivative liabilities, GEM warrant liabilities, Yorkville convertible note, and SAFE represent Level 3 measurements.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March 31, 2024 and December 31, 2023,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 warrant liabilities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$641,000</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11,500,000 Public Warrants in the Merger which were outstanding as of March 31, 2024 and December 31, 2023. The fair values of the Public Warrants are measured based on the listed market price of such warrants through March 31, 2024. See </w:t>
      </w:r>
      <w:r>
        <w:rPr>
          <w:rFonts w:ascii="Times New Roman" w:cs="Times New Roman" w:eastAsia="Times New Roman" w:hAnsi="Times New Roman"/>
          <w:sz w:val="18"/>
          <w:szCs w:val="18"/>
          <w:i w:val="1"/>
          <w:iCs w:val="1"/>
          <w:color w:val="auto"/>
        </w:rPr>
        <w:t>Note 12 -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a benefit of approximately $115,000 resulting from changes in the fair value of the derivative warrant liabilities, presented as change in fair value of warrant liabilities - related party in the accompanying condensed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Public Warrants liability which are Level 1 financial liabilities that are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(115,000 )</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cs="Times New Roman" w:eastAsia="Times New Roman" w:hAnsi="Times New Roman"/>
          <w:sz w:val="18"/>
          <w:szCs w:val="18"/>
          <w:i w:val="1"/>
          <w:iCs w:val="1"/>
          <w:color w:val="auto"/>
        </w:rPr>
        <w:t>Note 12 -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recognized a benefit of approximately $408,000, resulting from changes in the fair value of the derivative warrant liabilities, presented as change in fair value of warrant liabilities in the accompanying condensed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GEM Warrants liability which are Level 3 financial liabilities that are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(408,000 )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recognized a benefit (loss) of approximately $(544,000) resulting from changes in the fair value of the Yorkville convertible notes, presented as change in fair value of convertible promissory notes in the accompanying condensed consolidated statements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Yorkville convertible notes which is a Level 3 financial liability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1,766,000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3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2,250,000</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(1,667,000 )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544,000</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3,064,000</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Liabilities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the embedded put options, relating to the Convertible Notes - Related Party, Convertible Notes, and Term and Convertible Notes (CP BF)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On December 14, 2023, all outstanding principal and accrued interest, including the carrying value of any related embedded derivative, related to the Related Party Convertible Notes and Third Party Convertible Notes converted into the Company’s Class A Common Stock pursuant to the close of the Merger Agreement. Upon the conversion described above, the bifurcated embedded derivative liabilities were $0 as of March 31, 2024 and December 31, 2023, respectively. 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liabilities for the three months ended March 31, 2023, related to the Related Party and Third Party Convertible Debt, respectively, which are Level 3 financial liabilities that are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1"/>
                <w:szCs w:val="21"/>
                <w:color w:val="auto"/>
              </w:rPr>
            </w:pPr>
          </w:p>
        </w:tc>
      </w:tr>
      <w:tr>
        <w:trPr>
          <w:trHeight w:val="240"/>
        </w:trPr>
        <w:tc>
          <w:tcPr>
            <w:tcW w:w="7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4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1,936,827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845,473</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w:t>
            </w: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707,000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137,285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32,415</w:t>
            </w: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2,781,112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877,888</w:t>
            </w:r>
          </w:p>
        </w:tc>
      </w:tr>
      <w:tr>
        <w:trPr>
          <w:trHeight w:val="20"/>
        </w:trPr>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 (SAFE)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(the "SAFEs"). In the event of an Equity Financing (as defined in the SAFEs agreements), the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SAFEs will be entitled to receive cash or shares of the Company’s common or preferred stock. The number of shares required to be issued to settle the SAFEs at the equity financing is variable, because that number will be determined by the discounted fair value of the Company's equity shares on the date of settlement (i.e., Discount Price). Regardless of the fair value of the shares on the date of settlement, the holder will receive a fixed monetary value based on the Purchase Amount of the SAFE. If there is a Liquidity Event or SPAC Transaction before the settlement or termination of the SAFEs, the SAFEs will automatically be entitled to receive a portion of Proceeds, due and payable immediately prior to, or concurrent with, the consummation of such Liquidity Event or SPAC Transaction, equal to the greater of (i) two times (2x) the Purchase Amount (the “Cash-Out Amount”) or (ii) the amount payable on the number of shares of Common Stock equal to the Purchase Amount divided by the Liquidity Price (as defined in the SAFEs agreements). Refer to </w:t>
      </w:r>
      <w:r>
        <w:rPr>
          <w:rFonts w:ascii="Times New Roman" w:cs="Times New Roman" w:eastAsia="Times New Roman" w:hAnsi="Times New Roman"/>
          <w:sz w:val="18"/>
          <w:szCs w:val="18"/>
          <w:i w:val="1"/>
          <w:iCs w:val="1"/>
          <w:color w:val="auto"/>
        </w:rPr>
        <w:t>Note 13 - Simple Agreements for Future Equity</w:t>
      </w:r>
      <w:r>
        <w:rPr>
          <w:rFonts w:ascii="Times New Roman" w:cs="Times New Roman" w:eastAsia="Times New Roman" w:hAnsi="Times New Roman"/>
          <w:sz w:val="18"/>
          <w:szCs w:val="18"/>
          <w:color w:val="auto"/>
        </w:rPr>
        <w:t xml:space="preserve"> for additional information related to the Company's SAFEs.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SAFEs was determined using a scenario-based method for the pre-modification SAFE's and a Monte Carlo simulation method for the post-modification SAFEs. The value of the SAFE liability as of December 31, 2023 is based on significant inputs not observable in the market, which represents a Level 3 measurement within the fair value hierarchy. The fair value of the SAFEs on the date of issuance was determined to be $3,836,000. On December 14, 2023, all outstanding principal related to the Third Party SAFEs and Related Party SAFEs converted into the Company’s Class A Common Stock pursuant to the close of the Merger Agreement. Upon the conversion described above, the SAFEs were $0 as of March 31, 2024 and December 31, 2023, respectively. Refer to </w:t>
      </w:r>
      <w:r>
        <w:rPr>
          <w:rFonts w:ascii="Times New Roman" w:cs="Times New Roman" w:eastAsia="Times New Roman" w:hAnsi="Times New Roman"/>
          <w:sz w:val="18"/>
          <w:szCs w:val="18"/>
          <w:i w:val="1"/>
          <w:iCs w:val="1"/>
          <w:color w:val="auto"/>
        </w:rPr>
        <w:t>Note 13 - Simple Agreements for Future Equity</w:t>
      </w:r>
      <w:r>
        <w:rPr>
          <w:rFonts w:ascii="Times New Roman" w:cs="Times New Roman" w:eastAsia="Times New Roman" w:hAnsi="Times New Roman"/>
          <w:sz w:val="18"/>
          <w:szCs w:val="18"/>
          <w:color w:val="auto"/>
        </w:rPr>
        <w:t xml:space="preserve"> for further details.</w:t>
      </w:r>
    </w:p>
    <w:p>
      <w:pPr>
        <w:spacing w:after="0" w:line="14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set forth a summary of the activity of the Related Party and Third Party SAFE liabilities, respectively (See </w:t>
      </w:r>
      <w:r>
        <w:rPr>
          <w:rFonts w:ascii="Times New Roman" w:cs="Times New Roman" w:eastAsia="Times New Roman" w:hAnsi="Times New Roman"/>
          <w:sz w:val="18"/>
          <w:szCs w:val="18"/>
          <w:i w:val="1"/>
          <w:iCs w:val="1"/>
          <w:color w:val="auto"/>
        </w:rPr>
        <w:t>Note 13 - 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for Future Equity </w:t>
      </w:r>
      <w:r>
        <w:rPr>
          <w:rFonts w:ascii="Times New Roman" w:cs="Times New Roman" w:eastAsia="Times New Roman" w:hAnsi="Times New Roman"/>
          <w:sz w:val="18"/>
          <w:szCs w:val="18"/>
          <w:color w:val="auto"/>
        </w:rPr>
        <w:t>for further detail), which represents a recurring fair value measurement at the end of the relevant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1"/>
                <w:szCs w:val="21"/>
                <w:color w:val="auto"/>
              </w:rPr>
            </w:pPr>
          </w:p>
        </w:tc>
      </w:tr>
      <w:tr>
        <w:trPr>
          <w:trHeight w:val="240"/>
        </w:trPr>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4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8,802,196</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663,804</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303,139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22,861</w:t>
            </w:r>
          </w:p>
        </w:tc>
      </w:tr>
      <w:tr>
        <w:trPr>
          <w:trHeight w:val="27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4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9,105,335</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686,665</w:t>
            </w:r>
          </w:p>
        </w:tc>
      </w:tr>
      <w:tr>
        <w:trPr>
          <w:trHeight w:val="417"/>
        </w:trPr>
        <w:tc>
          <w:tcPr>
            <w:tcW w:w="3880" w:type="dxa"/>
            <w:vAlign w:val="bottom"/>
            <w:tcBorders>
              <w:top w:val="single" w:sz="8" w:color="CFF0FC"/>
            </w:tcBorders>
          </w:tcPr>
          <w:p>
            <w:pPr>
              <w:spacing w:after="0"/>
              <w:rPr>
                <w:sz w:val="24"/>
                <w:szCs w:val="24"/>
                <w:color w:val="auto"/>
              </w:rPr>
            </w:pPr>
          </w:p>
        </w:tc>
        <w:tc>
          <w:tcPr>
            <w:tcW w:w="3880" w:type="dxa"/>
            <w:vAlign w:val="bottom"/>
            <w:tcBorders>
              <w:top w:val="single" w:sz="8" w:color="CFF0FC"/>
            </w:tcBorders>
          </w:tcPr>
          <w:p>
            <w:pPr>
              <w:jc w:val="right"/>
              <w:ind w:right="19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-796290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-779145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3"/>
        </w:trPr>
        <w:tc>
          <w:tcPr>
            <w:tcW w:w="7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364,384</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consulting costs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13,258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120,332</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53,124</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commissions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38,462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software costs</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29,887</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merchant fees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29,182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26,224</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 costs</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445,963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17,661</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146,201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12,690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66,997</w:t>
            </w:r>
          </w:p>
        </w:tc>
      </w:tr>
      <w:tr>
        <w:trPr>
          <w:trHeight w:val="27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1,073,914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741,155</w:t>
            </w:r>
          </w:p>
        </w:tc>
      </w:tr>
      <w:tr>
        <w:trPr>
          <w:trHeight w:val="592"/>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392"/>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3"/>
        </w:trPr>
        <w:tc>
          <w:tcPr>
            <w:tcW w:w="7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2,162,984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1,511,889</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489,972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22,110</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338,402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314,873</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Excise tax payable</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legal costs</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2,694,439</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93,513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185,504</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1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37,765</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54,102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54,102</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289,760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149,841</w:t>
            </w: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3,862,714</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5,194,240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-2691130</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-2673985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02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Deferred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2024 and March 31, 2023, the Company recognized $861,496 and $930,436, in revenue that was included in the prior year deferred revenue balance,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deferred revenue was as follows for the periods indicated:</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45"/>
        </w:trPr>
        <w:tc>
          <w:tcPr>
            <w:tcW w:w="7280" w:type="dxa"/>
            <w:vAlign w:val="bottom"/>
          </w:tcPr>
          <w:p>
            <w:pPr>
              <w:spacing w:after="0"/>
              <w:rPr>
                <w:sz w:val="24"/>
                <w:szCs w:val="24"/>
                <w:color w:val="auto"/>
              </w:rPr>
            </w:pP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7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930,436</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Billings</w:t>
            </w:r>
          </w:p>
        </w:tc>
        <w:tc>
          <w:tcPr>
            <w:tcW w:w="20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1,110,682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4,781,924</w:t>
            </w: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(861,496 )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(930,436 )</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(217,976 )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(3,567,828 )</w:t>
            </w:r>
          </w:p>
        </w:tc>
      </w:tr>
      <w:tr>
        <w:trPr>
          <w:trHeight w:val="27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1,245,306</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93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1" w:lineRule="exact"/>
        <w:rPr>
          <w:sz w:val="20"/>
          <w:szCs w:val="20"/>
          <w:color w:val="auto"/>
        </w:rPr>
      </w:pPr>
    </w:p>
    <w:p>
      <w:pPr>
        <w:jc w:val="center"/>
        <w:ind w:right="300"/>
        <w:spacing w:after="0" w:line="282" w:lineRule="auto"/>
        <w:rPr>
          <w:sz w:val="20"/>
          <w:szCs w:val="20"/>
          <w:color w:val="auto"/>
        </w:rPr>
      </w:pPr>
      <w:r>
        <w:rPr>
          <w:rFonts w:ascii="Times New Roman" w:cs="Times New Roman" w:eastAsia="Times New Roman" w:hAnsi="Times New Roman"/>
          <w:sz w:val="18"/>
          <w:szCs w:val="18"/>
          <w:color w:val="auto"/>
        </w:rPr>
        <w:t>The deferred revenue balance is short-term and included under current liabilities on the accompanying unaudited condensed consolidated balance sheet.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and 2023, the Company issued subordinated convertible promissory notes to related parties Alco Investment Company (“Alco”), Mason Ward, DNX, and William Bryant. Alco held approximately 5% of the issued equity of the Company, through its ownership of Series A preferred stock. DNX held in excess of 5% of the issued equity of the Company, through its ownership of Series A preferred stock. William Bryant became a member of the Board of Directors upon completion of the Merger. The Related Party Convertible Notes bear interest at a rate of 8% per annum, and are convertible into the same series of capital stock of the Company to be issued to other investors upon a Qualified Financing (as defined in the agreement).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ending March 31, 2023, the Company recorded a $707,000 debt discount upon issuance of additional Related Party Convertible Notes. For the three months ended March 31, 2023, interest expense on the Related Party Convertible Notes totaled $383,284, comprised of $90,422 of contractual interest and $292,862 for the amortization of the discount.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Third Party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and 2023, the Company issued additional subordinated convertible notes (the “Third Party Convertible Notes”). The Third Party Convertible Notes bear interest at a rate of 8% per annum, and are convertible into the same series of capital stock of the Company to be issued to other investors upon a Qualified Financing (as defined in the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interest expense on the Third Party Convertible Notes totaled $151,624, comprised of $34,717 of contractual interest and $116,907 for the amortization of the discount.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Third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Related Party and Third Party Convertible Notes, respectively, as of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convertible notes</w:t>
            </w:r>
          </w:p>
        </w:tc>
        <w:tc>
          <w:tcPr>
            <w:tcW w:w="3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6,783,538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3,196,206</w:t>
            </w: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3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(131,867 )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(83,688 )</w:t>
            </w:r>
          </w:p>
        </w:tc>
        <w:tc>
          <w:tcPr>
            <w:tcW w:w="0" w:type="dxa"/>
            <w:vAlign w:val="bottom"/>
          </w:tcPr>
          <w:p>
            <w:pPr>
              <w:spacing w:after="0"/>
              <w:rPr>
                <w:sz w:val="1"/>
                <w:szCs w:val="1"/>
                <w:color w:val="auto"/>
              </w:rPr>
            </w:pPr>
          </w:p>
        </w:tc>
      </w:tr>
      <w:tr>
        <w:trPr>
          <w:trHeight w:val="24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convertible notes</w:t>
            </w:r>
          </w:p>
        </w:tc>
        <w:tc>
          <w:tcPr>
            <w:tcW w:w="3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6,651,671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3,112,518</w:t>
            </w: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619,697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233,714</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3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(7,271,368 )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(3,346,232 )</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convertible notes and accrued interest</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2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3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-951230</wp:posOffset>
            </wp:positionV>
            <wp:extent cx="102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 recorded a $3,711 debt discount upon issuance of the Alco August Promissory Note. For the three months ended March 31, 2024, interest expense on the Alco August Promissory Note totaled $5,449, comprised of $2,991 of contractual accrued interest and $2,458 for the amortization of the discount. As of March 31, 2024 and December 31, 2023, $150,000 of principal and $7,035 and $4,044, respectively, of accrued interest is outstanding under the Alco August Promissory Note recorded in note payable - related party on the balance sheets.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are due and payable on September 30, 2024. The Company recorded $8,588 of debt issuance costs and a $638,808 debt discount upon issuance of the Alco September Promissory Note, relating to the share transfer agreements, see below. For the three months ended March 31, 2024, interest expense on the Alco September Promissory Note totaled $91,563, comprised of $29,918 of contractual accrued interest and $61,645 for the amortization of the discount. As of March 31, 2024 and December 31, 2023, $1,500,000 of principal and $60,493 and $30,575, respectively, of accrued interest is outstanding under the Alco September Promissory Note recorded in note payable - related party on the balance sheets.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are due and payable on April 13, 2024. The Company recorded a $363,905 debt discount upon issuance of the Alco November Promissory Note relating to the share transfer agreements, see below. For the three months ended March 31, 2024, interest expense on the Alco November Promissory Note totaled $248,285, comprised of $14,959 of contractual accrued interest and $233,326 for the amortization of the discount. As of March 31, 2024 and December 31, 2023, $750,000 of principal and $22,356 and $7,397, respectively, of accrued interest is outstanding under the Alco November Promissory Note recorded in note payable - related party on the consolidated balance sheets.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three months ended March 31, 2024, interest expense on the Alco December Promissory Note totaled $232,216, comprised of $39,890 of contractual accrued interest and $192,326 for the amortization of the discount. As of March 31, 2024 and December 31, 2023, $2,000,000 of principal and $47,780 and $7,890, respectively, of accrued interest is outstanding under the Alco December Promissory Note recorded in note payable – related party on the consolidated balance sheets.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Alco Share Transfer Agreements, the Company considered the guidance under ASC 815, Derivatives and Hedging,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September Promissory Note, of which $1,000,000 was drawn on September 13, 2023, the DLOM was estimated using the put option models described above and the following assumptions: a holding period for the shares of 272 days (approximately 0.77 years) measured from the date of issuance of the $1,000,000 of proceeds under the September Note through the issuance of the shares under the Alco October Share Transfer Agreement on December 14, 2023 at which time the 180-day lock-up period commenced; a re-levered equity volatility estimated using guideline public companies of 54.0%; and a risk-free rate commensurate with the term of 5.3%. The put option models provided a DLOM range of 10.7% to 16.0% and the concluded DLOM was estimated to be 12.5%.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remaining $500,000 drawn on the Alco September Promissory Note on October 3, 2023, the DLOM was estimated using the put option models described above and the following assumptions: a holding period for the shares of 252 days (approximately 0.72 years) measured from the date of issuance of the remaining $500,000 of proceeds under the September Note through the issuance of the shares under the Alco October Share Transfer Agreement on December 14, 2023 at which time the 180-day lock-up period commenced; a re-levered equity volatility estimated using guideline public companies of 52.0%; and a risk-free rate commensurate with the term of 5.4%. The put option models provided a DLOM range of 10.0% to 15.0% and the concluded DLOM was estimated to be 11.5%.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November Promissory Note, the DLOM was estimated using the put option models described above and the following assumptions: a holding period for the shares of 208 days (approximately 0.60 years) measured from the issuance date of the November Note through the issuance of the shares under the November 2023 Share Transfer Agreement on December 14, 2023 at which time the 180-day lock-up period commenced; a re-levered equity volatility estimated using guideline public companies of 54.0%; and a risk-free rate commensurate with the term of 5.2%. The put option models provided a DLOM range of 9.5% to 15.0% and the concluded DLOM was estimated to be 11.5%. The Company’s expected percentage of completing the Merger on this date was 100%.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December Promissory Note, the DLOM was estimated using the put option models described above and the following assumptions: a holding period for the shares of 180 days (approximately 0.49 years) measured from the issuance date of the December Note through the issuance of the shares under the December 2023 Share Transfer Agreement on December 14, 2023 at which time the 180-day lock-up period commenced; a re-levered equity volatility estimated using guideline public companies of 47.0%; and a risk-free rate commensurate with the term of 5.2%. The put option models provided a DLOM range of 7.5% to 12.0% and the concluded DLOM was estimated to be 9.0%. The Company’s expected percentage of completing its Business Combination on this date was 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890,611 shares the Company’s Class A Common Stock pursuant to the terms in the 7GC Promissory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ind w:firstLine="8"/>
        <w:spacing w:after="0" w:line="250" w:lineRule="auto"/>
        <w:tabs>
          <w:tab w:leader="none" w:pos="2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$1.0 million, payable in monthly installments of $100,000 beginning on March 1, 2024, with the final payment to be made on December 1, 2024 (the “GEM Promissory Note”). The Company paid GEM the $1.2 million in cash in February 2024.</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has issued an aggregate of 139,470 shares of Class A Common Stock to GEM in lieu of monthly payment obligations and the remaining balance of the GEM Promissory Note as of March 31, 2024 is $900,000 recorded in the Convertible Notes line on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 (Yorkville)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 non-cash original issue discount of $100,000.</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together with the December Yorkville Convertible Note and February Yorkville Promissory Note (the" Yorkville Promissory Notes"), received net proceeds of $1,250,000 after a non-cash original issue discount of $250,000 from Yorkville.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Yorkville Convertible Notes have a maturity date of June 14, 2024, and accrue interest at 0% per annum, subject to an increase to 18% per annum upon events of default as defined in the agreement. As of March 31, 2024, no events of default have occurred.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 has the right to convert any portion of the outstanding principal into shares of Class A common stock at any time. The number of shares issuable upon conversion is equal to the amount of principal to be converted (as specified by Yorkville) divided by the Conversion Price (as defined in the Standby Equity Purchase Agreement disclosure in Note 15).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Convertible Notes agreement (each an "Amortization Event"), the Company may be required to make monthly repayments of amounts outstanding under the Yorkville Convertible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January 2024, the Company’s stock price per share fell below the then in effect Floor Price (as defined in the Standby Equity Purchase Agreement disclosure in Note 15) of $2.00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Floor Price was reset on February 14, 2024, in conjunction with the effective date of the Company’s Registration Statement, at a price of $0.294 per share of Common Stock, thus curing the Amortization Event condition.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ending March 31, 2024, $500,000 of principal under the December Yorkville Convertible Note was converted into 788,211 Class A Common stock of the Company and the full principal amount of $1,000,000 under the February Yorkville Convertible Note was converted into 1,445,524 Class A Common stock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principal amount outstanding under the Yorkville Convertible Notes was $3,000,000 and $2,000,000, respectively. During the three months ended March 31, 2024, the Company recorded interest expense of $0 in connection with the Yorkville Convertible Notes.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Yorkville Convertible Notes are required to be measured at fair value pursuant to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at the date of issuances and in subsequent reporting periods, due to the variable share-settled feature described above in which, if converted, the value to be received by Yorkville fluctuates based on something other than the fair value of the Company’s common stock. The fair value of the Yorkville Convertible Notes as of March 31, 2024 and December 31, 2023 was $3,064,000 and $1,766,000, respectively. The Company used a Monte Carlo simulation model in order to determine the Yorkville Convertible Note’s fair value at December 31, 2023, with the following inputs: the fair value of the Company's common stock of $1.88 on December 31, 2023, estimated equity volatility of 71%, the time to maturity of 0.46 years, a discounted market interest rate of 14%, a risk free rate of 5.28%, and probability of optional redemption 10.0%.</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a loss of $544,000 related to the change in fair value of the Yorkville Convertible Notes liability. The Company used a Monte Carlo simulation model in order to determine the Yorkville Convertible Note’s fair value at March 31, 2024, with the following inputs: the fair value of the Company's common stock of $0.61 on March 31, 2024, estimated equity volatility of 106%, the time to maturity of 0.21 years, a discounted market interest rate of 16.5%, a risk free rate of 5.46%, and probability of optional redemption 75.0%.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(CP BF)</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If not sooner converted or prepaid, the Convertible Note principal together with accrued and unpaid interest thereon, unpaid fees and expenses and any other Obligations then due, shall be paid on the Loan Maturity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interest rate for the Term Note was 16% for three months ended March 31, 2024 and 2023. For the three months ended March 31, 2024, interest expense on the Term Note totaled $292,327, comprised of $266,348 of contractual interest and $25,979 for the amortization of the discount. For the three months ended March 31, 2023, interest expense on the Term Note totaled $278,164, comprised of $259,443 of contractual interest and $18,721 for the amortization of the discount. The effective interest rate for the CP BF Convertible Note and First Amendment Convertible Note was 16% for the three months ended March 31, 2024 and 2023. For the three months ended March 31, 2024, interest expense on the Convertible Notes totaled $116,411, comprised of $108,596 of contractual interest and $7,815 for the amortization of the discount. For the three months ended March 31, 2023, interest expense on the Convertible Notes totaled $98,432, comprised of $91,860 of contractual interest and $6,572 for the amortization of the discount.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CP BF convertible notes as of March 31, 2024:</w:t>
            </w: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convertible notes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1,821,345</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(34,531 )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convertible notes</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1,786,814</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1,023,075</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convertible notes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2,809,889</w:t>
            </w:r>
          </w:p>
        </w:tc>
      </w:tr>
      <w:tr>
        <w:trPr>
          <w:trHeight w:val="41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CP BF convertible notes as of December 31, 2023:</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9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convertible notes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1,821,345</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(41,983 )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convertible notes</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1,779,362</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914,479</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convertible notes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2,693,841</w:t>
            </w:r>
          </w:p>
        </w:tc>
      </w:tr>
      <w:tr>
        <w:trPr>
          <w:trHeight w:val="41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CP BF term note as of March 31, 2024:</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9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term note</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(107,011 )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6,392,989</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555,721</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term note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6,948,710</w:t>
            </w:r>
          </w:p>
        </w:tc>
      </w:tr>
      <w:tr>
        <w:trPr>
          <w:trHeight w:val="417"/>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CP BF term note as of December 31, 2023:</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9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CB BF term note</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(129,586 )</w:t>
            </w: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CB BF term note</w:t>
            </w:r>
          </w:p>
        </w:tc>
        <w:tc>
          <w:tcPr>
            <w:tcW w:w="6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6,370,414</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289,373</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CB BF term note and accrued interest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6,659,787</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11,500,000 Public Warrants in the Merger which remained outstanding as of March 31, 2024. The Public Warrants have an exercise price of $11.50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March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 redemption trigger price (as adjusted for adjustments to the number of shares issuable upon exercise or the exercise price of a Public Warrant as described under the heading “-Warrants—Public Stockholder Warrants—Anti-dilution Adjustments”) as well as the $11.50 (for whole shares) Public Warrant exercise price after the redemption notice is issued.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828,533 shares at an exercise price of $6.49 per share. The exercise price will be adjusted to 105% of the then-current exercise price if on the one-year anniversary date of the Effective Time, the GEM Warrant has not been exercised in full and the average closing price per share of Class A Common Stock for the 10 days preceding the anniversary date is less than 90% of the initial exercise price.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March 31, 2024 and December 31, 2023, the fair value of the Warrants, as determined by the Monte Carlo simulation option pricing model, were $233,000 and $641,000,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Simple Agreements for Future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Related Party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with related parties Alco, DNX and William Bryant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for a description of the related party relationship with these entities) (the "Related Party SAFEs") pursuant to which the Company received gross proceeds in the amount of $3,567,000. In the event of an Equity Financing (as defined in the SAFEs agreements), the Related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Related Party SAFEs will be entitled to receive cash or shares of the Company’s common or preferred stock. The Related Party SAFEs were recorded as a liability in accordance with the applicable accounting guidance as they are redeemable for cash upon contingent events that are outside of the Company’s control. The initial fair value of the Related Party SAFE liability was $3,567,000. Subsequent changes in fair value at each reporting period are recognized in the consolidated statement of operations. For the three months ended March 31, 2023, the Company recognized a loss of $303,139 for the change in fair value of the Related Party SAFE liability.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Related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Related Party SAFEs at a carrying value of $6,049,766 converted into 551,949 shares the Company’s Class A Common Stock pursuant to the close of the Merger Agreement and application of the exchange ratio.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Third Party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Simple Agreements for Future Equity (SAFE) arrangements with third party investors (the "Third Party SAFEs") pursuant to which the Company received gross proceeds in the amount of $269,000. In the event of an Equity Financing (as defined in the SAFEs agreements), the Third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Third Party SAFEs will be entitled to receive cash or shares of the Company’s common or preferred stock. The Third Party SAFEs were recorded as a liability in accordance with the applicable accounting guidance as they are redeemable for cash upon contingent events that are outside of the Company’s control. The initial fair value of the Third Party SAFE liability was $269,000. Subsequent changes in fair value at each reporting period are recognized in the Consolidated Statement of Operations. For the three months ended March 31, 2023, the Company recognized a loss of $22,861 for the change in fair value of the Third Party SAFE liability.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Third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Third Party SAFEs at a carrying value of $456,234 converted into 41,626 shares the Company’s Class A Common Stock pursuant to the close of the Merger Agreement and application of the exchange ratio.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real estate across multiple states. The operating leases have remaining lease terms of approximately 0.51 years as of March 31, 2024 and consist primarily of office space.</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lease agreements generally do not provide an implicit borrowing rate. Therefore, the Company used a benchmark approach to derive an appropriate incremental borrowing rate to discount remaining lease payments.</w:t>
      </w:r>
    </w:p>
    <w:p>
      <w:pPr>
        <w:spacing w:after="0" w:line="13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3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Company’s existing leases contain escalation clauses and renewal options. The Company is not reasonably certain that renewal options will be exercised upon expiration of the initial terms of its existing leases.</w:t>
      </w:r>
    </w:p>
    <w:p>
      <w:pPr>
        <w:spacing w:after="0" w:line="11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5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2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47,244</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51,448</w:t>
            </w:r>
          </w:p>
        </w:tc>
        <w:tc>
          <w:tcPr>
            <w:tcW w:w="60" w:type="dxa"/>
            <w:vAlign w:val="bottom"/>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(51,083 )</w:t>
            </w:r>
          </w:p>
        </w:tc>
        <w:tc>
          <w:tcPr>
            <w:tcW w:w="60" w:type="dxa"/>
            <w:vAlign w:val="bottom"/>
          </w:tcPr>
          <w:p>
            <w:pPr>
              <w:spacing w:after="0"/>
              <w:rPr>
                <w:sz w:val="20"/>
                <w:szCs w:val="20"/>
                <w:color w:val="auto"/>
              </w:rPr>
            </w:pPr>
          </w:p>
        </w:tc>
      </w:tr>
      <w:tr>
        <w:trPr>
          <w:trHeight w:val="27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 cost</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(5,298 )</w:t>
            </w:r>
          </w:p>
        </w:tc>
        <w:tc>
          <w:tcPr>
            <w:tcW w:w="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24"/>
                <w:szCs w:val="24"/>
                <w:color w:val="auto"/>
              </w:rPr>
            </w:pPr>
          </w:p>
        </w:tc>
      </w:tr>
      <w:tr>
        <w:trPr>
          <w:trHeight w:val="41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5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43,086</w:t>
            </w:r>
          </w:p>
        </w:tc>
        <w:tc>
          <w:tcPr>
            <w:tcW w:w="60" w:type="dxa"/>
            <w:vAlign w:val="bottom"/>
          </w:tcPr>
          <w:p>
            <w:pPr>
              <w:spacing w:after="0"/>
              <w:rPr>
                <w:sz w:val="20"/>
                <w:szCs w:val="20"/>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2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(75,078 )</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(68,373 )</w:t>
            </w:r>
          </w:p>
        </w:tc>
        <w:tc>
          <w:tcPr>
            <w:tcW w:w="60" w:type="dxa"/>
            <w:vAlign w:val="bottom"/>
          </w:tcPr>
          <w:p>
            <w:pPr>
              <w:spacing w:after="0"/>
              <w:rPr>
                <w:sz w:val="21"/>
                <w:szCs w:val="2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60" w:type="dxa"/>
            <w:vAlign w:val="bottom"/>
          </w:tcPr>
          <w:p>
            <w:pPr>
              <w:spacing w:after="0"/>
              <w:rPr>
                <w:sz w:val="24"/>
                <w:szCs w:val="24"/>
                <w:color w:val="auto"/>
              </w:rPr>
            </w:pPr>
          </w:p>
        </w:tc>
      </w:tr>
      <w:tr>
        <w:trPr>
          <w:trHeight w:val="232"/>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90,308</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134,013</w:t>
            </w:r>
          </w:p>
        </w:tc>
        <w:tc>
          <w:tcPr>
            <w:tcW w:w="60" w:type="dxa"/>
            <w:vAlign w:val="bottom"/>
          </w:tcPr>
          <w:p>
            <w:pPr>
              <w:spacing w:after="0"/>
              <w:rPr>
                <w:sz w:val="20"/>
                <w:szCs w:val="20"/>
                <w:color w:val="auto"/>
              </w:rPr>
            </w:pPr>
          </w:p>
        </w:tc>
      </w:tr>
      <w:tr>
        <w:trPr>
          <w:trHeight w:val="236"/>
        </w:trPr>
        <w:tc>
          <w:tcPr>
            <w:tcW w:w="5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158,965</w:t>
            </w:r>
          </w:p>
        </w:tc>
        <w:tc>
          <w:tcPr>
            <w:tcW w:w="10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c>
          <w:tcPr>
            <w:tcW w:w="60" w:type="dxa"/>
            <w:vAlign w:val="bottom"/>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158,965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c>
          <w:tcPr>
            <w:tcW w:w="60" w:type="dxa"/>
            <w:vAlign w:val="bottom"/>
          </w:tcPr>
          <w:p>
            <w:pPr>
              <w:spacing w:after="0"/>
              <w:rPr>
                <w:sz w:val="24"/>
                <w:szCs w:val="24"/>
                <w:color w:val="auto"/>
              </w:rPr>
            </w:pPr>
          </w:p>
        </w:tc>
      </w:tr>
      <w:tr>
        <w:trPr>
          <w:trHeight w:val="44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2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tcPr>
          <w:p>
            <w:pPr>
              <w:spacing w:after="0"/>
              <w:rPr>
                <w:sz w:val="20"/>
                <w:szCs w:val="20"/>
                <w:color w:val="auto"/>
              </w:rPr>
            </w:pPr>
          </w:p>
        </w:tc>
      </w:tr>
      <w:tr>
        <w:trPr>
          <w:trHeight w:val="45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4"/>
                <w:szCs w:val="24"/>
                <w:color w:val="auto"/>
              </w:rPr>
            </w:pP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6.78 %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6.76 %</w:t>
            </w:r>
          </w:p>
        </w:tc>
      </w:tr>
      <w:tr>
        <w:trPr>
          <w:trHeight w:val="441"/>
        </w:trPr>
        <w:tc>
          <w:tcPr>
            <w:tcW w:w="5400" w:type="dxa"/>
            <w:vAlign w:val="bottom"/>
          </w:tcPr>
          <w:p>
            <w:pPr>
              <w:spacing w:after="0"/>
              <w:rPr>
                <w:sz w:val="24"/>
                <w:szCs w:val="24"/>
                <w:color w:val="auto"/>
              </w:rPr>
            </w:pPr>
          </w:p>
        </w:tc>
        <w:tc>
          <w:tcPr>
            <w:tcW w:w="21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36"/>
        </w:trPr>
        <w:tc>
          <w:tcPr>
            <w:tcW w:w="54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-3968115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-3950970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-1687830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-1670685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March 31, 2024, are as follows:</w:t>
            </w: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6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162,202</w:t>
            </w:r>
          </w:p>
        </w:tc>
      </w:tr>
      <w:tr>
        <w:trPr>
          <w:trHeight w:val="23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6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162,202</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discounting</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(3,237 )</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158,965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Cantor Fee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Merger, 7GC previously agreed to pay Cantor an Original Deferred Fee of $8,050,000 as deferred underwriting commissions. On November 8, 2023, Cantor and 7GC entered into a Fee Reduction Agreement, pursuant to which Cantor agreed to forfeit $4,050,000 of the $8,050,000 Original Deferred Fee, with the remaining $4,000,000 Reduced Deferred Fee payable by Banzai to Cantor following the Closing of the Merger.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Fee Reduction Agreement, the Company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issued the Cantor Fee Shares, as of March 31,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March 31, 2024 condensed consolidated balance sheet.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interim and annual period after December 31, 2023, the Company will monitor its compliance with the Cantor Registration Rights Obligations to determine whether the entire amount of the Reduced Deferred Fee has become due and payable in cash, or the Company’s obligations have been satisfied and the remaining liability should be derecognized. At such time as the Company's obligations under the Fee Reduction Agreement have been satisfied the relief of the liability will be recorded through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Addendum to Letter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13, 2022, Roth Capital Partners, LLC ("Roth") and Legacy Banzai entered into the Roth Engagement Letter, pursuant to which Legacy Banzai engaged Roth as a financial advisor in connection with the Merger and, on October 14, 2022, MKM and 7GC entered into the MKM Engagement Letter, pursuant to which 7GC engaged MKM as a financial advisor in connection with the Merger. In February 2023, Roth acquired MKM. On December 8, 2023, the Company received an invoice from Roth for an advisory fee in the amount of $1,100,000 as well as transaction expenses reimbursable to Roth amounting to $6,813. As of December 31, 2023, the Company recorded a liability for the total advisory fee of $1,106,813 to accrued expenses.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 2024, the Company and Roth entered into an addendum to (i) the engagement letter, dated October 13, 2022, by and between Roth and Legacy Banzai, and (ii) the engagement letter, dated October 14, 2022, by and between Roth (as successor to MKM Partners, LLC) and 7GC (such engagement agreements, collectively, the “Roth Engagement Agreements,” and such addendum, the “Roth Addendum”). Pursuant to the Roth Addendum, in lieu of payment in cash of the full amount of any advisory fees or other fees or expenses, incurred in 2024, and owed under the Roth Engagement Agreements (collectively, the “Roth Fee”), the Company (i) issued to Roth 175,000 shares (the “Roth Shares”) of the Company’s Class A Common Stock on February 2, 2024, and (ii) on or before June 30, 2024, will pay to Roth an amount in cash equal to $300,000 or, if the Company determines that such payment should not be made in cash due to the Company’s cash position at such time, issue to Roth a number of shares of Class A Common Stock equal to $300,000 divided by the daily VWAP for the trading day immediately preceding June 30, 2024 (any such shares, the “Additional Roth Shares”). The Company registered the Roth Shares and 600,000 shares of Class A Common Stock (in addition to the Roth Shares) on a registration statement to cover any issuances of Additional Roth Shares (which may be more or less than 600,000) that may occur pursuant to the Roth Addendum. This registration statement became effective on February 14, 2024. The $300,000 cash payment has not yet been made as of the date of filing of these condensed consolidated financial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 2024, the Company issued the 175,000 Roth Shares with a fair value of $278,833 on the date of issuance. As neither the remaining $300,000 cash payment, nor any Additional Roth Shares had been paid or issued to Roth, as of March 31, 2024, $300,000 will remain as an accrued expense on the Company’s condensed consolidated balance sheet, payable to Roth on or before June 30, 2024. Therefore, the 175,000 shares are determined to settle $806,813 of the obligation recognized as of December 31, 2023, resulting in gain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of $577,513 that has been recognized as a gain on extinguishment of liability on the Company's condensed consolidated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275,000,000 shares, consisting of 250,000,000 Class A Common Stock, and 25,000,000 shares of Class B Common Stock par value $0.0001 per share.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Reverse Merger Capitalization with 7GC &amp; Co. Holdings Inc.</w:t>
      </w:r>
      <w:r>
        <w:rPr>
          <w:rFonts w:ascii="Times New Roman" w:cs="Times New Roman" w:eastAsia="Times New Roman" w:hAnsi="Times New Roman"/>
          <w:sz w:val="18"/>
          <w:szCs w:val="18"/>
          <w:color w:val="auto"/>
        </w:rPr>
        <w:t>, the Company has retroactively adjusted the shares issued and outstanding prior to December 14, 2023 to give effect to the Exchange Ratio to determine the number of shares of Company Common Stock into which they were converted.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20,221,589 shares (17,910,455 Class A common stock and 2,311,134 Class B common stock) issued and outstanding at March 31, 2024 and 16,019,256 shares (13,708,122 Class A common stock and 2,311,134 Class B common stock) issued and outstanding at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March 31, 2024 and December 31, 2023, no shares of preferred stock were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500,000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297"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SEPA Option was determined to be a freestanding financial instrument which did not meet the criteria to be accounted for as a derivative instrument or to be recognized within equity.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will therefore recognize the SEPA Option as an asset or liability, measured at fair value at the date of issuance, December 14, 2023, and in subsequent reporting periods, with changes in fair value recognized in earnings. The SEPA Option was determined to have a fair value of $0 on the date of issuance as well as at December 31, 2023 and March 31, 2024.</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710,025 Class A common stock as payment for the Deferred Fee.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Convertible Note, Yorkville has the right to receive shares to pay down the principal balance, and may select the timing and delivery of such shares (via an “Investor Notice”), in an amount up to the outstanding principal balance on the Yorkville Convertible Note at a purchase price equal to the lower of (i) $10.00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 per share of Class A common stock (the “Conversion Price”). At any time that there is a balance outstanding under the Yorkville Convertible Note, the Company is not permitted to issue Advance Notices under the SEPA unless an Amortization Event has occurred under the terms of the Yorkville Convertible Note agreement.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Advance Notices issued pursuant to the SEPA during the three months ended March 31, 2024 or as of the date that these financial statements were issued.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In addition, the aggregate number of shares of common stock will automatically increase on January 1 of each year for a period of ten years commencing on January 1, 2024 and ending on January 1, 2033, in an amount equal to 5% of the total number of shares of the fully diluted common stock determined as of the day prior to such increase. The aggregate maximum number of shares of common stock that may be issued pursuant to the exercise of incentive stock options is approximately three times the total number of shares of common stock initially reserved for issuance. As of March 31, 2024 and December 31, 2023, 2,848,823 and 572,172 stock options remain available to be awarded under the Plan, respectively.</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$8.22 - 8.58</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75.0 - 76.0%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80.00 - 81.13%</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5.75 - 6.08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5.25 - 6.08</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4.28 - 4.31%</w:t>
            </w: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3"/>
        </w:trPr>
        <w:tc>
          <w:tcPr>
            <w:tcW w:w="5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5800" w:type="dxa"/>
            <w:vAlign w:val="bottom"/>
          </w:tcPr>
          <w:p>
            <w:pPr>
              <w:spacing w:after="0"/>
              <w:rPr>
                <w:sz w:val="21"/>
                <w:szCs w:val="21"/>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748,086</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103,662</w:t>
            </w: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801,372</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13,245</w:t>
            </w:r>
          </w:p>
        </w:tc>
      </w:tr>
      <w:tr>
        <w:trPr>
          <w:trHeight w:val="277"/>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344,304</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-976630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-976630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-976630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-350520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-350520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-350520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of $252,967 and $402,448, which is included in general and administrative expense for the three months ended March 31, 2024 and 2023, respectively. The weighted-average grant-date fair value per option granted during the three months ended March 31, 2024 and 2023 was $0.61 and $8.48, respectively. As of March 31, 2024 and 2023, $2,364,604 and $2,644,032 of unrecognized compensation expense related to non-vested awards is expected to be recognized over the weighted average period of 1.37 and 3.14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began issuing RSUs to non-employee directors. Each RSU entitles the recipient to one share of Class A Common Stock upon vesting. We measure the fair value of RSUs using the stock price on the date of grant. Stock-based compensation expense for RSUs is recorded ratably over their vesting period.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three months ended March 31, 2024 is presented below:</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7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7700" w:type="dxa"/>
            <w:vAlign w:val="bottom"/>
          </w:tcPr>
          <w:p>
            <w:pPr>
              <w:spacing w:after="0"/>
              <w:rPr>
                <w:sz w:val="21"/>
                <w:szCs w:val="21"/>
                <w:color w:val="auto"/>
              </w:rPr>
            </w:pPr>
          </w:p>
        </w:tc>
        <w:tc>
          <w:tcPr>
            <w:tcW w:w="17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673,253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r>
      <w:tr>
        <w:trPr>
          <w:trHeight w:val="20"/>
        </w:trPr>
        <w:tc>
          <w:tcPr>
            <w:tcW w:w="77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compensation cost related to the grant of RSUs was $411,358. Unvested outstanding RSUs as of March 31, 2024 had a weighted average remaining vesting period of 1 year.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ended December 31, 2024 as the Company incurred losses for the three months ended March 31, 2024 and 2023 and is forecasting an estimated net loss for both financial statement and tax purposes for the year ended December 31, 2024. Therefore, no federal or state income taxes are expected and none have been recorded at this time. Income taxes have been accounted for using the liability method in accordance with FASB ASC 740.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cannot currently support that realization of its deferred tax assets is more likely than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2023, the Company had no unrecognized tax benefits that would reduce the Company’s effective tax rate if recognized.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2024, the Company amended the Alco August Promissory Note and Alco November Promissory Note to extend the maturity dates of each note to May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2024, the Company issued 260,443 shares of the Company's Class A common stock to GEM pursuant to the Unsecured Promissory Note, dated February 5, 2024, between the Company and GEM.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2024, the Company received Investor Notice No. 4 under the SEPA to purchase $100,000 shares of the Company's Class A common stock. Pursuant to receipt of the Investor Notice, the Company issued 334,336 shares of the Company's Class A common stock to Yorkville at a purchase price of $0.2991. The issuance amounted to an offset of $100,000 against the Company's outstanding principal under the then-outstanding Promissory Notes.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"Debt Repayment Agreement") acknowledging as of the effective date of the Debt Repayment Agreement, that the February Promissory Note had been fully repaid and as of the effective date, $2,800,000 of principal remains outstanding under the Yorkville Promissory Notes. Pursuant to the Debt Repayment Agreement, Yorkville shall not (i) deliver any Investor Notice (as defined above pursuant to the SEPA), or (ii) exercise its right to convert all or any portion of any outstanding Promissory Notes after the effective date, for the duration of the standstill period (the "Standstill"). The Standstill is such that within three (3) business days upon the closing of a registered offering, the Company shall (i) pay to Yorkville certain repayment proceeds against outstanding Promissory Notes then-outstanding, and (ii) deliver to Yorkville an Advance Notice. Yorkville has agreed that on the date of such a closing of a registered offering, for ninety (90) days after the closing, (A) it will (i) deliver to the Company and Investor Notice pursuant to the SEPA, or (ii) exercise its Conversion Right and (B) any obligation of the Company to make any monthly payments of the Promissory Notes shall be suspended for the duration of the Standstill period. Additionally, the Company and Yorkville have agreed that upon commencement of the Standstill period, the Floor Price pursuant to the then-outstanding Promissory Notes, shall be adjusted to a price to be mutually agreed between the Company and Yorkville, and upon commencement of the Standstill period, the maturity date of each of the then-outstanding Promissory Notes shall be extended by one hundred and twenty (120) days after the closing of such a registered offering.</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6, 2024, the Company issued 320,000 shares of the Company's Class A common stock as compensation pursuant to a business development and general consulting services agreement entered into in April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Yorkville submitted a Conversion Notice, related to the purchase of common shares of the Company, with the aggregate purchase price of those shares offset against amounts outstanding by the Company under the Pre-Paid Yorkville Convertible Notes. Once issued, Yorkville will have purchased 360,136 shares, for a total aggregate purchase consideration of $100,000. The conversion prices applicable to this purchase is approximately $0.28 per share.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2024, the Compensation Committee of the Board of Directors (the "Compensation Committee") of the Company approved the grant of options for the purchase of up to 1,200,000 shares of the Company's Class A common stock, to various executive employees of the Company, under the Company's 2023 Equity Incentive Plan (the “Plan”). These options vest immediately as of the grant date, have a term of 10 years and have exercise prices ranging from $1 to $5. On this same date, the Compensation Committee approved the issuance of further options for the purchase of up to 144,500 shares of the Company's Class A common stock, to various employees and outside contractors, under the Plan. These options vest over a period of four years, have a term of 10 years and with an exercise price equal to the closing market price of the Company's Class A common stock, on the grant date. Further, on this same date, the Compensation Committee approved the issuance of 219,290 RSU's covering shares of Company's Class A common stock, to various employees and outside contractors, under the Plan. These RSU's vest over a period of four years.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that are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Form 10-Q.</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2,767 customers as of March 31, 2024 and comes from a variety of industries, including (among others) healthcare, financial services, e-commerce, technology and media, in over 86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119 on March 31, 2024.</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 generated revenue of approximately $1.1 million and $1.2 million in the three months ended March 31, 2024 and 2023, respectively. Banzai has incurred significant net losses since inception, including net losses of $4.5 million and $3.8 million for the three months ended March 31, 2024 and 2023, respectively. Banzai had an accumulated deficit of $51.3 million and of $46.8 million as of March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14, 2023, we consummated the Business Combination with Legacy Banzai. Pursuant to the terms of the Merger Agreement, the Business Combination was effected through (a) the merger of First Merger Sub with and into Legacy Banzai, with Legacy Banzai surviving as a wholly-owned subsidiary of 7GC and (b) the subsequent merger of Legacy Banzai with and into Second Merger Sub, with the Second Merger Sub being the surviving entity of the Second Merger, which ultimately resulted in Legacy Banzai becoming a wholly-owned direct subsidiary of 7GC. Upon closing the Business Combination, we changed our name from 7GC &amp; Co. Holdings Inc. to Banzai International, Inc.</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description of the Business Combination and the material terms of the Merger Agreement are included in the Proxy Statement/Prospectus, filed by the Company with the SEC in the section entitled "Stockholder Proposal No. 1 - The Business Combination Proposal" beginning on page 92 of the Proxy Statement/Prospectus.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management of our businesses, we identify, measure, and evaluate a variety of operating metrics, as described below. These key performance measures and operating metrics are not prepared in accordance with GAAP and may not be comparable to or calculated</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same way as other similarly titled measures and metrics used by other companies. Measurements are specific to the group being measured, i.e. total customers, new customers, or other cohorts. We currently use these operating metrics with our Demio product. We do not track and use these operating metrics with prior products.</w:t>
      </w:r>
    </w:p>
    <w:p>
      <w:pPr>
        <w:spacing w:after="0" w:line="176"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 of Banzai’s revenue generated from Demio for three months ended March 31, 2024 and 2023 as compared to our other SaaS products.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Reach</w:t>
            </w:r>
          </w:p>
        </w:tc>
        <w:tc>
          <w:tcPr>
            <w:tcW w:w="72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7280" w:type="dxa"/>
            <w:vAlign w:val="bottom"/>
            <w:vMerge w:val="continue"/>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Demio</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0" w:type="dxa"/>
            <w:vAlign w:val="bottom"/>
          </w:tcPr>
          <w:p>
            <w:pPr>
              <w:spacing w:after="0"/>
              <w:rPr>
                <w:sz w:val="1"/>
                <w:szCs w:val="1"/>
                <w:color w:val="auto"/>
              </w:rPr>
            </w:pPr>
          </w:p>
        </w:tc>
      </w:tr>
      <w:tr>
        <w:trPr>
          <w:trHeight w:val="25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(“NRR”)</w:t>
      </w:r>
    </w:p>
    <w:p>
      <w:pPr>
        <w:spacing w:after="0" w:line="229"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spacing w:after="0" w:line="176"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NRR is: NRR = (Revenue at the beginning of a period - Revenue lost from churn, and downgrades + Revenue gained from expansion and reactivation) / Revenue at the beginning of the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average monthly NRR for Demio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Product: Demio</w:t>
            </w:r>
          </w:p>
        </w:tc>
        <w:tc>
          <w:tcPr>
            <w:tcW w:w="69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Monthly NRR</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00" w:type="dxa"/>
            <w:vAlign w:val="bottom"/>
            <w:gridSpan w:val="3"/>
            <w:vMerge w:val="continue"/>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Average Customer Value (“ACV”)</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ACV is a metric Banzai uses to calculate the total revenue that it can expect to generate from a customer in a year. ACV is commonly used in the SaaS industry to measure the value of a customer to a subscription-based company over a 12-month period. Banzai uses ACV to segment its customers and to determine whether the value of new customers is growing or shrinking relative to the existing customer base. Banzai uses this information to make strategic decisions about pricing, marketing, and customer retention.</w:t>
      </w:r>
    </w:p>
    <w:p>
      <w:pPr>
        <w:spacing w:after="0" w:line="180"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ACV is: ACV = Total Annual Recurring Revenue (ARR) / Total Number Customers, where ARR is defined as annual run-rate revenue of subscription agreements from all customers measured at a point in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new customer ACV and total average ACV for Demio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Customer ACV</w:t>
            </w:r>
          </w:p>
        </w:tc>
        <w:tc>
          <w:tcPr>
            <w:tcW w:w="4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r>
      <w:tr>
        <w:trPr>
          <w:trHeight w:val="234"/>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Average ACV</w:t>
            </w:r>
          </w:p>
        </w:tc>
        <w:tc>
          <w:tcPr>
            <w:tcW w:w="4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r>
      <w:tr>
        <w:trPr>
          <w:trHeight w:val="44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2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Cost (“CAC”)</w:t>
      </w:r>
    </w:p>
    <w:p>
      <w:pPr>
        <w:spacing w:after="0" w:line="229"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CAC is: CAC = Total Sales &amp; Marketing Cost / Number of Customers Acquired.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CAC for Demio for the three months ended March 31, 2024 and 2023.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6"/>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Acquisition Cost (CAC)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r>
      <w:tr>
        <w:trPr>
          <w:trHeight w:val="432"/>
        </w:trPr>
        <w:tc>
          <w:tcPr>
            <w:tcW w:w="20" w:type="dxa"/>
            <w:vAlign w:val="bottom"/>
          </w:tcPr>
          <w:p>
            <w:pPr>
              <w:spacing w:after="0"/>
              <w:rPr>
                <w:sz w:val="24"/>
                <w:szCs w:val="24"/>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Customer Churn %</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98"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Customer Churn % is the rate of customers who deactivate in a given period relative to the number of active customers at the beginning of such period or end of the prior period. Understanding drivers of churn allows Banzai to take measures to reduce the number of customers who deactivate and increase the overall rate of customer retention. There are two types of Churn % measured: Revenue churn and Customer (or logo) churn.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Churn % is: Churn % = [# or $ value of] Deactivations / [# or $ value of] Active Customers (Beginning of period).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revenue Churn and new customer (or logo) Churn for Demio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Product: Demio</w:t>
            </w:r>
          </w:p>
        </w:tc>
        <w:tc>
          <w:tcPr>
            <w:tcW w:w="69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Monthly Churn - Revenue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100" w:type="dxa"/>
            <w:vAlign w:val="bottom"/>
            <w:gridSpan w:val="3"/>
            <w:vMerge w:val="continue"/>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Monthly Churn - Customer (Logo)</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Churn - Customer (Logo) represents the number of customers, whereas the non-Logo Churn is based on sales dollars.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Lifetime Value (“LTV”)</w:t>
      </w:r>
    </w:p>
    <w:p>
      <w:pPr>
        <w:spacing w:after="0" w:line="22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LTV is a financial metric Banzai uses to estimate the total revenue it can expect to generate from a customer throughout their entire relationship. LTV helps Banzai understand the long-term value of each customer, enabling it to make informed decisions about</w:t>
      </w: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marketing, sales, customer support, and product development strategies. It also helps Banzai allocate resources more efficiently by identifying high-value customer segments to focus on growth and retention.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is comprised of two metrics: Monthly Recurring Revenue (MRR) and Customer Life represented in # of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for these metrics on a per-customer basis, as follows: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MRR = ACV / 12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 Life (# of months) = 1 / Churn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LTV = MRR * Customer Life (# of months)</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MRR is calculated by aggregating, for all customers from customer base or the group being measured during that month, monthly revenue from committed contractual amounts. For customers on annual contracts, this represents their ACV divided by 12.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MRR, Customer Life, and LTV for Demio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6"/>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MRR (New Customers)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39"/>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Life (months)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8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LTV (New Customers)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LTV / CAC Ratio</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 CAC ratio is: LTV / CAC for the segment or activity being measured.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LTV / CAC ratio for Demio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r>
      <w:tr>
        <w:trPr>
          <w:trHeight w:val="21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LTV / CAC Ratio</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Key Business Drivers on Financial Performance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spacing w:after="0" w:line="18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Success and Onboarding, leading to maximum customer satisfaction and retention.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Support, maximizing customer value, supporting usage and expansion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Initiatives, designed to improve trial experience and conversion rates, on-demand adoption, and emphasis on data to position our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products as a system of automation and a system of record for our customers, supporting growth and retention.</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Identification of Operational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key internal and external operational risks to the successful execution of Banzai’s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risks include, among others:</w:t>
      </w:r>
    </w:p>
    <w:p>
      <w:pPr>
        <w:spacing w:after="0" w:line="22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leadership issues: ineffective leadership, poor decision-making, or lack of direction.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inefficiencies: inadequate processes and poor resource allocation may lead to decreased productivity or insufficient ROI.</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mismanagement: inadequate financial planning, improper accounting practices, or excessive debt can lead to financial instability.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challenges: high turnover, lack of skilled staff, or internal conflicts can impact morale and productivity.</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failing to develop (or adapt) to new technologies in anticipation or response to changes in market trends can lead to competitive disadvantages.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risks include, among others:</w:t>
      </w:r>
    </w:p>
    <w:p>
      <w:pPr>
        <w:spacing w:after="0" w:line="225"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economic downturns, inflation, or currency fluctuations impacting business spending and overall market conditions.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established industry players to new entrants, eroding market share and profitability.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laws or regulations that impact operations or increase compliance costs.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disruptions: from advancements in technology leading to obsolescence of existing products.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including natural disasters, geo-political instability, and pandemics, potentially impacting market demand, operational or supply chain disruption.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Operational Risks on Financial Performance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spacing w:after="0" w:line="176"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Sales: Internal risks from operating inefficiency or external factors, including economic downturns or increased competition, could lead to lower sales, impaired unit economics, and reduced revenue.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Internal operating mismanagement or external factors, including supplier issues, may cause increased cost relative to revenue generation, resulting in insufficient return on investment or profit margins.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historical cost, with no goodwill or other intangible assets recorded. Operations prior to the Business Combination are those of Legacy Banzai in this and future reports of Banzai.</w:t>
      </w:r>
    </w:p>
    <w:p>
      <w:pPr>
        <w:spacing w:after="0" w:line="162"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As a consequence of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4"/>
              </w:rPr>
              <w:t>over-</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1"/>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30"/>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6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6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0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6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debt issuance</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6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party</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(4,501 )</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(3,763 )</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-3128010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that are not considered meaningful are presented as “nm".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54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Banzai reported total revenue of approximately $1,079 thousand, representing a decrease of approximately $98 thousand, or approximately 8.3%, compared to the three months for the same period ended March 31, 2023. This decrease is primarily attributable to lower Reach revenue which declined by approximately $74 thousand due to a shift in Banzai's focus to its Demio product and decision, which decision was reversed in 2024, to begin phasing out the Reach product. In 2024 Banzai is revitalizing its focus on the Reach product through re-engineering and expanded sales efforts. Demio revenue was lower by approximately $25 thousand for the three months ended March 31, 2024 as compared to the three months ended March 31, 2023 due to churn and lower new sales period-over-period.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4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and 2023, Banzai’s cost of revenue totaled approximately $381 thousand and approximately $412 thousand, respectively. This represents a decrease of approximately $31 thousand, or approximately 7.5%, for the three months ended March 31, 2024 as compared to the three months ended March 31, 2023, is due primarily to lower customer base and an approximately 4% lower average cost per customer, driven by lower infrastructure costs of approximately $45 thousand, contracted services of approximately $34 thousand, subscription payroll of approximately $14 thousand, and merchant fee costs of approximately $3 thousand. The lower contracted services and data licenses cost described above were offset by the increase of the streaming services costs of approximately $65 thousand.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4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99" w:right="279" w:bottom="1440" w:gutter="0" w:footer="0" w:header="0"/>
        </w:sectPr>
      </w:pPr>
    </w:p>
    <w:bookmarkStart w:id="37" w:name="page38"/>
    <w:bookmarkEnd w:id="37"/>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Banzai’s gross profit was approximately $698 thousand and approximately $765 thousand, respectively. This represents a decrease of approximately $67 thousand, or approximately 8.8% due to the decreases in revenue of approximately $98 thousand and decreases in cost of revenue of approximately $31 thousand described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6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1,139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Total operating expenses for the three months ended March 31, 2024 and 2023, were approximately $4.3 million and approximately $3.2 million, respectively, an increase of approximately $1.1 million, or 35.9%. This increase was due primarily to an overall increase in salaries and related expenses by approximately $0.1 million, marketing expenses by approximately $0.1 million, costs associated with audit, technical accounting, and legal and other professional services of approximately $0.7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6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(464 )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Banzai reported total other expenses of approximately $0.9 million. This represents a decrease of approximately $0.5 million from the three months ended March 31, 2023, when the Company reported total other expenses of approximately $1.4 million. The change in other expenses (income), net was primarily driven by the following:</w:t>
      </w:r>
    </w:p>
    <w:p>
      <w:pPr>
        <w:spacing w:after="0" w:line="17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 settlement commitment fee expense of approximately $0.2 million.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debt of approximately $0.5 million.</w:t>
      </w:r>
    </w:p>
    <w:p>
      <w:pPr>
        <w:spacing w:after="0" w:line="22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fair value of the simple agreement for future equity ("SAFEs") during the three months ended March 31, 2024 relative to a loss of approximately $0.3 million, approximately $0.3 million of which related to related party SAFEs.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warrant liability was a gain of approximately $0.4 million during the three months ended March 31, 2024, with a</w:t>
      </w:r>
    </w:p>
    <w:p>
      <w:pPr>
        <w:spacing w:after="0" w:line="27" w:lineRule="exact"/>
        <w:rPr>
          <w:sz w:val="20"/>
          <w:szCs w:val="20"/>
          <w:color w:val="auto"/>
        </w:rPr>
      </w:pPr>
    </w:p>
    <w:p>
      <w:pPr>
        <w:ind w:left="5540" w:right="2380" w:hanging="4507"/>
        <w:spacing w:after="0" w:line="260" w:lineRule="auto"/>
        <w:rPr>
          <w:sz w:val="20"/>
          <w:szCs w:val="20"/>
          <w:color w:val="auto"/>
        </w:rPr>
      </w:pPr>
      <w:r>
        <w:rPr>
          <w:rFonts w:ascii="Times New Roman" w:cs="Times New Roman" w:eastAsia="Times New Roman" w:hAnsi="Times New Roman"/>
          <w:sz w:val="18"/>
          <w:szCs w:val="18"/>
          <w:color w:val="auto"/>
        </w:rPr>
        <w:t>gain of approximately $0.1 million related to related party warrant liabilities. These warrants, both third party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38" w:name="page39"/>
    <w:bookmarkEnd w:id="38"/>
    <w:p>
      <w:pPr>
        <w:ind w:left="1020" w:right="60"/>
        <w:spacing w:after="0" w:line="282" w:lineRule="auto"/>
        <w:rPr>
          <w:sz w:val="20"/>
          <w:szCs w:val="20"/>
          <w:color w:val="auto"/>
        </w:rPr>
      </w:pPr>
      <w:r>
        <w:rPr>
          <w:rFonts w:ascii="Times New Roman" w:cs="Times New Roman" w:eastAsia="Times New Roman" w:hAnsi="Times New Roman"/>
          <w:sz w:val="18"/>
          <w:szCs w:val="18"/>
          <w:color w:val="auto"/>
        </w:rPr>
        <w:t>and related party, were issued and assumed in December 2023, and as such, there was no equivalent gain or loss on warrant liabilities during the three months ended March 31, 2023.</w:t>
      </w:r>
    </w:p>
    <w:p>
      <w:pPr>
        <w:spacing w:after="0" w:line="162" w:lineRule="exact"/>
        <w:rPr>
          <w:sz w:val="20"/>
          <w:szCs w:val="20"/>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by approximately $0.1 million period-over-period to approximately $1.0 million for the three months ended March 31, 2024 due to the company raising additional interest bearing debt.</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fair value of bifurcated embedded derivative liabilities during the three months ended March 31, 2024 relative to a loss of approximately $0.2 million during the three months ended March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80" w:firstLine="4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Banzai’s reported provision for income tax benefit was $1 thousand and expense was $3.0 thousand, respectively.</w:t>
      </w:r>
    </w:p>
    <w:p>
      <w:pPr>
        <w:spacing w:after="0" w:line="16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2024, Banzai had no unrecognized tax benefits that would reduce Banzai's effective tax rate if recognized.</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Analysis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5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Months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54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(4,501 )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(738 )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Banzai reported net losses of approximately $4.5 million and approximately $3.8 million, respectively. The greater net loss is primarily due to a reduction in total other expenses of approximately $0.5 million during the three months ended March 31, 2024 compared to the three months ended March 31, 2023, offset by an increase in operating expenses of approximately $1.1 million and a decrease in gross profit of approximately $0.1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60" w:firstLine="449"/>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spacing w:after="0" w:line="192" w:lineRule="exact"/>
        <w:rPr>
          <w:sz w:val="20"/>
          <w:szCs w:val="20"/>
          <w:color w:val="auto"/>
        </w:rPr>
      </w:pPr>
    </w:p>
    <w:p>
      <w:pPr>
        <w:jc w:val="both"/>
        <w:ind w:right="80"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39" w:name="page40"/>
    <w:bookmarkEnd w:id="39"/>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March 31, 2024, the Company had one operating segment, which was deemed to be its reporting unit, for the purpose of evaluating goodwill impairment to be evaluated at the year end.</w:t>
      </w:r>
    </w:p>
    <w:p>
      <w:pPr>
        <w:spacing w:after="0" w:line="15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4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convertible and Simple Agreement for Future Equity (SAFE) notes, including the associated embedded derivatives</w:t>
      </w:r>
    </w:p>
    <w:p>
      <w:pPr>
        <w:spacing w:after="0" w:line="185"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Simple Agreements for Future Equity ("SAFE") at fair value in accordance with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SAFEs are subject to revaluation at the end of each reporting period, with changes in fair value recognized in the accompanying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Operations.</w:t>
      </w:r>
    </w:p>
    <w:p>
      <w:pPr>
        <w:spacing w:after="0" w:line="14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the warrant liabilities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consolidated statements of operations.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The determination of the fair value of the warrant liabilities may be subject to change as more current information becomes available and accordingly the actual results could differ significantly. Warrant liabilities are classified as current liabilities on the Company's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as the holder’s ability to receive one percent of the total consideration received by the Company’s stockholders in connection with a Change of Control in lieu of the Warrant,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3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The Company determined the Warrants were share issuance costs associated with an aborted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offering. Aborted offering costs may not be deferred and charged against proceeds of a subsequent offering. As such, the Company recorded an expense for the corresponding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stock compensation</w:t>
      </w:r>
    </w:p>
    <w:p>
      <w:pPr>
        <w:spacing w:after="0" w:line="227"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in accordance with ASC 718, Stock Compensation.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w:t>
      </w:r>
    </w:p>
    <w:p>
      <w:pPr>
        <w:spacing w:after="0" w:line="22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0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2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(1,508 )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(882 )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Banzai’s Adjusted EBITDA was approximately $1,508 thousand, reflecting a decrease in the earnings of approximately $882 thousand compared to a loss of approximately $626 thousand for the three months ended</w:t>
      </w:r>
    </w:p>
    <w:p>
      <w:pPr>
        <w:jc w:val="center"/>
        <w:ind w:right="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41" w:name="page42"/>
    <w:bookmarkEnd w:id="41"/>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March 31, 2023. This period-over-period decrease in earnings is primarily attributable to an increase in interest expense - related party and transaction related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to Adjusted EBITDA Reconciliation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2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4"/>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8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84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8"/>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4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20" w:type="dxa"/>
            <w:vAlign w:val="bottom"/>
            <w:tcBorders>
              <w:left w:val="single" w:sz="8" w:color="CFF0FC"/>
              <w:right w:val="single" w:sz="8" w:color="CFF0FC"/>
            </w:tcBorders>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40" w:type="dxa"/>
            <w:vAlign w:val="bottom"/>
            <w:tcBorders>
              <w:lef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Borders>
              <w:left w:val="single" w:sz="8" w:color="CFF0FC"/>
              <w:right w:val="single" w:sz="8" w:color="CFF0FC"/>
            </w:tcBorders>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 party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6"/>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left w:val="single" w:sz="8" w:color="CFF0FC"/>
              <w:right w:val="single" w:sz="8" w:color="CFF0FC"/>
            </w:tcBorders>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3"/>
            <w:vMerge w:val="continue"/>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(1,508 )</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Transaction related expenses include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4"/>
              </w:rPr>
              <w:t>Period-</w:t>
            </w: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8"/>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Professional fees - legal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777.9 %</w:t>
            </w:r>
          </w:p>
        </w:tc>
        <w:tc>
          <w:tcPr>
            <w:tcW w:w="0" w:type="dxa"/>
            <w:vAlign w:val="bottom"/>
          </w:tcPr>
          <w:p>
            <w:pPr>
              <w:spacing w:after="0"/>
              <w:rPr>
                <w:sz w:val="1"/>
                <w:szCs w:val="1"/>
                <w:color w:val="auto"/>
              </w:rPr>
            </w:pPr>
          </w:p>
        </w:tc>
      </w:tr>
      <w:tr>
        <w:trPr>
          <w:trHeight w:val="243"/>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Incremental accounting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5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Market study, M&amp;A support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-4773930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Since inception, Banzai has financed its operations primarily from the sales of redeemable convertible preferred stock and convertible promissory notes, and proceeds from senior secured loans. As of March 31, 2024, Banzai had cash of approximately $1.0 million.</w:t>
      </w:r>
    </w:p>
    <w:p>
      <w:pPr>
        <w:spacing w:after="0" w:line="162"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Banzai has incurred losses since its inception, had a working capital deficit of approximately $33.1 million as of March 31, 2024, and had an accumulated deficit at March 31, 2024 totaling approximately $51.3 million. As of March 31, 2024, Banzai had approximately $10.0 million and approximately $6.8 million aggregate principal amount outstanding on term/promissory notes and convertible notes, respectively. During the three months ended March 31, 2024, Banzai has raised additional capital under the SEPA through the issuance of additional convertible notes for a total of approximately $2.5 million to fund the Company's operations. Additionally, during the three months ended March 31, 2024, the Company issued non-cash share payments of approximately $1.5 million in partial settlement of the Yorkville Promissory Note financing; an approximately $0.5 million non-cash share payment to settle</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42" w:name="page43"/>
    <w:bookmarkEnd w:id="4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deferred fee liability recognized as of March 31, 2024, and payable to Yorkville in terms of the SEPA. These stock issuances described herein do not represent sources of new capital, rather the issuances were made to settle existing liabilities in lieu of cash payments, as described above. Banzai has historically used debt financing proceeds principally to fund operations.</w:t>
      </w:r>
    </w:p>
    <w:p>
      <w:pPr>
        <w:spacing w:after="0" w:line="176"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Banzai’s intends to seek additional funding through the SEPA arrangement and other equity financings in 2024. If Banzai is unable to raise such funding, Banzai will have to pursue an alternative course of action to seek additional capital through other debt and equity financing.</w:t>
      </w:r>
    </w:p>
    <w:p>
      <w:pPr>
        <w:spacing w:after="0" w:line="162" w:lineRule="exact"/>
        <w:rPr>
          <w:sz w:val="20"/>
          <w:szCs w:val="20"/>
          <w:color w:val="auto"/>
        </w:rPr>
      </w:pPr>
    </w:p>
    <w:p>
      <w:pPr>
        <w:jc w:val="both"/>
        <w:ind w:right="60" w:firstLine="449"/>
        <w:spacing w:after="0" w:line="254" w:lineRule="auto"/>
        <w:rPr>
          <w:sz w:val="20"/>
          <w:szCs w:val="20"/>
          <w:color w:val="auto"/>
        </w:rPr>
      </w:pPr>
      <w:r>
        <w:rPr>
          <w:rFonts w:ascii="Times New Roman" w:cs="Times New Roman" w:eastAsia="Times New Roman" w:hAnsi="Times New Roman"/>
          <w:sz w:val="18"/>
          <w:szCs w:val="18"/>
          <w:color w:val="auto"/>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 Banzai will continue as a going concern, which contemplates the realization of assets and satisfaction of liabilities in the normal course of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Banzai’s cash flows for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8"/>
              </w:rPr>
              <w:t>Three Months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i w:val="1"/>
                <w:iCs w:val="1"/>
                <w:color w:val="auto"/>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March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8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8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38"/>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57"/>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Pr>
          <w:p>
            <w:pPr>
              <w:spacing w:after="0"/>
              <w:rPr>
                <w:sz w:val="22"/>
                <w:szCs w:val="22"/>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increase / (decrease) in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-4203.8 %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w:t>
      </w:r>
    </w:p>
    <w:p>
      <w:pPr>
        <w:spacing w:after="0" w:line="229" w:lineRule="exact"/>
        <w:rPr>
          <w:sz w:val="20"/>
          <w:szCs w:val="20"/>
          <w:color w:val="auto"/>
        </w:rPr>
      </w:pPr>
    </w:p>
    <w:p>
      <w:pPr>
        <w:jc w:val="both"/>
        <w:ind w:right="60" w:firstLine="44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$2.1 million for the three months ended March 31, 2024. Net cash used in operating activities consists of net loss of approximately $4.5 million, offset by total adjustments of $2.4 million for non-cash items and the effect of changes in working capital. Non-cash adjustments included non-cash settlement of the GEM commitment fee of approximately $0.2 million, stock-based compensation expense of approximately $0.3 million, gain on extinguishment of liability of $0.5 million, non-cash interest expense of approximately $0.5 million (approximately $0.09 million for related party), amortization of debt discount and issuance costs of approximately $0.5 million (approximately $0.5 million for related party), amortization of operating lease ROU assets of approximately $0.04 million, fair value adjustment for warrant liabilities gain of approximately $0.5 million (gain of approximately $0.1 million for related party), and net of change in operating assets and liabilities of approximately $1.2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three months ended March 31, 2024.</w:t>
      </w:r>
    </w:p>
    <w:p>
      <w:pPr>
        <w:spacing w:after="0" w:line="225"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$1.1 million for the three months ended March 31, 2024, and was primarily related to proceeds from convertible debt financing of approximately $2.3 million and payment of the GEM commitment fee of approximately $1.2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2023</w:t>
      </w:r>
    </w:p>
    <w:p>
      <w:pPr>
        <w:spacing w:after="0" w:line="229" w:lineRule="exact"/>
        <w:rPr>
          <w:sz w:val="20"/>
          <w:szCs w:val="20"/>
          <w:color w:val="auto"/>
        </w:rPr>
      </w:pPr>
    </w:p>
    <w:p>
      <w:pPr>
        <w:jc w:val="both"/>
        <w:ind w:right="60"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$1.5 million for the three months ended March 31, 2023. Net cash used in operating activities consists of net loss of approximately $3.8 million, total adjustments of approximately $2.3 million for non-cash items and the effect of changes in working capital. Non-cash adjustments include stock-based compensation expense of approximately $0.4 million, non-cash interest expense of approximately $0.2 million (approximately $0.09 million for related party), amortization of debt discount and issuance costs of approximately $0.4 million (approximately $0.3 million for related party), amortization of operating lease ROU assets of approximately $0.04 million, fair value adjustments to simple agreement for future equity of approximately $0.3 million (approximately $0.3 million for related party), fair value adjustments to bifurcated embedded derivative liabilities of</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$0.2 million (approximately $0.1 million for related party), and net of change in operating assets and liabilities of approximately $0.7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three months ended March 31, 2023.</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$1.5 million for the three months ended March 31, 2023, and was primarily related to proceeds from the issuance of convertible note, net of issuance costs of approximately $1.5 million (all amounts for related party).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 Expenditure Commitments and Financing Requirements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1 - 3 Years</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6"/>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- 14% CB PF convertible notes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1,821</w:t>
            </w:r>
          </w:p>
        </w:tc>
        <w:tc>
          <w:tcPr>
            <w:tcW w:w="5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- 14% CB PF term notes</w:t>
            </w:r>
          </w:p>
        </w:tc>
        <w:tc>
          <w:tcPr>
            <w:tcW w:w="3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- 8% Alco promissory notes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Yorkville Convertible promissory note</w:t>
            </w:r>
          </w:p>
        </w:tc>
        <w:tc>
          <w:tcPr>
            <w:tcW w:w="3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GEM promissory note</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3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capital expenditure commitments and financing requirements at March 31, 2024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20,148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20,148</w:t>
            </w:r>
          </w:p>
        </w:tc>
        <w:tc>
          <w:tcPr>
            <w:tcW w:w="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- 14% CB PF convertible and term notes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19, 2021, the Company entered into a loan agreement with CP BF Lending, LLC (“CP BF”) for $8,000,000 (the "Loan Agreement"). The Loan Agreement was comprised of a Term Note for $6,500,000 and a Convertible Note for $1,500,000, with the option upon the request of the Company for Additional Loan (“Additional Loan”) principal amount of up to $7,000,000, evidenced by additional notes with 81.25% of the principal amount of such Additional Loan being evidenced by a Term Note, and 18.75% of the principal amount of such an Additional Loan being evidenced by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If not sooner converted or prepaid, the Convertible Note principal together with accrued and unpaid interest thereon, unpaid fees and expenses and any other Obligations then due, shall be paid on the Loan Maturity Date. Upon the occurrence, and during the continuance, of an Event of Default (as defined in the agreement), interest on the Term Note will bear cash interest at a per annum rate of 20% (“Default Rate”) and no PIK interest shall accrue at any time during an Event of Default and the Convertible Note will bear PIK Interest at a per annum at the Default Rate.</w:t>
      </w:r>
    </w:p>
    <w:p>
      <w:pPr>
        <w:spacing w:after="0" w:line="14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Loans, in accordance with their terms, in whole or in part at any time. On the date of any such prepayment, the Company will owe to Lender: (i) all accrued and unpaid Cash Interest with respect to the principal amount so prepaid through the date the prepayment is made; (ii) if such prepayment is prior to the twelve-month anniversary of the Closing Date, all unpaid interest (including for the avoidance of doubt, PIK Interest and Cash Interest) with respect to the principal amount so prepaid that would have been due and payable on or prior to the twelve-month anniversary of the Closing Date had the Loans remained outstanding until such twelve-month anniversary date (the “Yield Maintenance Premium”); (iii)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(iv) all other Obligations, if any, that shall have become due and payable hereunder with respect to the principal amount so prepaid.</w:t>
      </w:r>
    </w:p>
    <w:p>
      <w:pPr>
        <w:spacing w:after="0" w:line="16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Loan Agreement contains customary covenants, including restrictions on the Company’s ability to incur indebtedness, grant liens or security interest on assets, make acquisitions, loans, advances or investments, or sell or otherwise transfer assets, among others. The Loan Agreement also contains other financial covenants related to minimum gross profit margin, minimum ARR (Annual Recurring Revenue) growth rate, and fixed charge ratio, among other financial covenants per the terms of the Loan Agreement. The Loan Agreement is secured by a first-priority Lien (subject to Permitted Liens) on and security interest in the Collateral pursuant to the terms of the Collateral Documents. The Loan Agreement named Joseph Davy, CEO, as Guarantor, and per the term of the Loan Agreement, he is willing to guarantee the full payment, performance and collection of all of the Credit Parties’ obligations thereunder and under the Loan Agreement, all as further set forth therein.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5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and at any time thereafter unless and until such Event of Default has been waived by CP BF or cured to the satisfaction of Lender, subject to the exercise of customary commercial underwriting standards in determining such satisfaction, Lender may, without notice or demand to the Credit Parties declare the unpaid principal of and any accrued interest shall be immediately due and payable. While the Company and the Lender are engaged in good faith discussions to resolve these matters, no agreement to resolve such matters has been reached and all of the Loans remain in default for the reasons stated above, and the Lender is not presently exercising remedies, which the Lender reserves the right to so do at any time.</w:t>
      </w:r>
    </w:p>
    <w:p>
      <w:pPr>
        <w:spacing w:after="0" w:line="14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Modification of Term and Convertible Notes (CP BF)</w:t>
      </w:r>
    </w:p>
    <w:p>
      <w:pPr>
        <w:spacing w:after="0" w:line="20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August 24, 2023, the Company entered into a forbearance agreement (the "Forbearance Agreement") with CP BF Lending. Under the terms of this Forbearance Agreement, and as a result of the Company's non-compliance with certain covenants of its Loan Agreement with CP BF, CP BF agreed to</w:t>
      </w:r>
    </w:p>
    <w:p>
      <w:pPr>
        <w:jc w:val="both"/>
        <w:ind w:firstLine="8"/>
        <w:spacing w:after="0" w:line="252" w:lineRule="auto"/>
        <w:tabs>
          <w:tab w:leader="none" w:pos="2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certain provisions of the Loan Agreement to clarify the treatment of the Merger with 7GC under the Loan Agreement, (ii) consent to the consummation of the Merger Agreement with 7GC and (iii) forbear from exercising any of its rights and remedies under the Loan Agreement with the Company from the effective date of the Forbearance Agreement until the earlier of (a) the four-month anniversary of the closing of the Merger if the Merger is closed on or prior to December 29, 2023, (b) December 29, 2023 if the Merger is not consummated on or prior to December 29, 2023 or (c) the date on which any Termination Event (as defined within the Forbearance Agreement) shall have occurred. In connection with the Forbearance Agreement, CP BF and the Company also agreed to amend and restate CP BF’s existing convertible promissory notes (the “A&amp;R CP BF Notes”) so that they may remain outstanding following the closing of the Merger and, at CP BF’s option, be convertible into Class A shares of the combined company.</w:t>
      </w:r>
    </w:p>
    <w:p>
      <w:pPr>
        <w:spacing w:after="0" w:line="14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First Amendment to the Forbearance Agreement with the Lender. In particular, the Company agreed to pay the Lender an amount in cash equal to $23,748 (the “Amendment Fee”) on the execution date to extend the forbearance period from the four-month anniversary of the closing of the Merger to the six-month anniversary of the closing of the Merger.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- 8% Alco promissory notes</w:t>
      </w:r>
    </w:p>
    <w:p>
      <w:pPr>
        <w:spacing w:after="0" w:line="200" w:lineRule="exact"/>
        <w:rPr>
          <w:sz w:val="20"/>
          <w:szCs w:val="20"/>
          <w:color w:val="auto"/>
        </w:rPr>
      </w:pPr>
    </w:p>
    <w:p>
      <w:pPr>
        <w:spacing w:after="0" w:line="20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 recorded a $3,711 debt discount upon issuance of the Alco August Promissory Note. For the three months ended March 31, 2024, interest expense on the Alco August Promissory Note totaled $5,449, comprised of $2,991 of contractual accrued interest and $2,458 for the amortization of the discount. As of March 31, 2024 and December 31, 2023, $150,000 of principal and $7,035 and $4,044, respectively, of accrued interest is outstanding under the Alco August Promissory Note.</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are due and payable on September 30, 2024. The Company recorded $8,588 of debt issuance costs and a $638,808 debt discount upon issuance of the Alco September Promissory Note, relating to the share transfer agreements, see below. For the three months ended March 31, 2024, interest expense on the Alco September Promissory Note totaled $91,563, comprised of $29,918 of contractual accrued interest and $61,645 for the amortization of the discount. As of March 31, 2024 and December 31, 2023, $1,500,000 of principal and $60,493 and $30,575, respectively, of accrued interest is outstanding under the Alco September Promissory Note.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are due and payable on April 13, 2024. The Company recorded a $363,905 debt discount upon issuance of the Alco November Promissory Note relating to the share transfer agreements, see below. For the three months ended March 31, 2024, interest expense on the Alco November Promissory Note totaled $248,285, comprised of $14,959 of contractual accrued interest and $233,326 for the amortization of the discount. As of March 31, 2024 and December 31, 2023, $750,000 of principal and $22,356 and $7,397, respectively, of accrued interest is outstanding under the Alco November Promissory Note.</w:t>
      </w:r>
    </w:p>
    <w:p>
      <w:pPr>
        <w:spacing w:after="0" w:line="14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three months ended March 31, 2024, interest expense on the Alco December Promissory Note totaled $232,216, comprised of $39,890 of contractual accrued interest and $192,326 for the amortization of the discount. As of March 31, 2024 and December 31, 2023, $2,000,000 of principal and $47,780 and $7,890, respectively, of accrued interest is outstanding under the Alco December Promissory Note.</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- 7GC Convertible promissory note</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March 31, 2024. The promissory notes were issued on December 21, 2022 for a principal amount of $2,300,000 (“December 2022 7GC Note”) and on October 3, 2023 for a principal amount of $250,000 (“October 2023 7G Note, together with the December 2022 7GC Note, the “7GC Promissory Notes”). The 7GC Promissory Notes were issued to the Sponsor, 7GC &amp; Co. Holdings LLC. The 7GC Promissory Notes do not bear interest and were repayable in full upon the earlier of the consummation of a business combination or the date the Company liquidates the trust account (the “Trust Account”) established in connection with the Company’s initial public offering (the “IPO”) upon the failure of the Company to consummate a business combination within the requisite time period. Under the original terms of the 7GC Promissory Notes, the Sponsor has the option, but not the obligation, to convert the principal balance of the Note, in whole or in part, into that number of shares of Class A common stock, $0.0001 par value per share, of the Company equal to the principal amount of the Note so converted divided by $10.00.</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Modification of Promissory Notes - 7GC</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12, 2023, in connection with the Merger, the Sponsor came to a non-binding agreement (“First Amendment”) with the Company to amend the optional conversion provision of the 7GC Promissory Notes. The First Amendment provided that the holder has the right to elect to convert up to the full amount of the principal balance of the 7GC Promissory Notes, in whole or in part, 30 days after the closing of the Merger (the “Closing”) at a conversion price equal to the average daily VWAP of the Class A Common Stock for the 30 trading days following the Closing.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 Pursuant to ASC 470, if the modification or exchange of a convertible debt instrument is not accounted for as an extinguishment, the accounting for the change in the fair value of the embedded conversion option which increases the value of the embedded conversion option (calculated as the difference between the fair value of the embedded conversion option immediately before and after the modification or exchange) is recorded as a reduction to the carrying amount of the 7GC Promissory Notes with a corresponding increase to additional paid in capital. The 7GC Promissory Notes were converted in full and subsequently cancelled on March 6, 2024.</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Yorkville Convertible promissory note</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Yorkville agreed to advance to the Company, in exchange for convertible promissory notes, an aggregate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 non-cash original issue discount of $100,000.</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together with the December Yorkville Convertible Note and February Yorkville Promissory Note (the" Yorkville Promissory Notes"), received net proceeds of $1,250,000 after a non-cash original issue discount of $250,000 from Yorkville.</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Yorkville Convertible Notes have a maturity date of June 14, 2024, and accrue interest at 0% per annum, subject to an increase to 18% per annum upon events of default as defined in the agreement. As of March 31, 2024, no events of default have occurred.</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Yorkville has the right to convert any portion of the outstanding principal into shares of Class A common stock at any time. The number of shares issuable upon conversion is equal to the amount of principal to be converted (as specified by Yorkville) divided by the Conversion Price (as defined in the Standby Equity Purchase Agreement disclosure in Note 15).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Convertible Notes agreement (each an "Amortization Event"), the Company may be required to make monthly repayments of amounts outstanding under the Yorkville Convertible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ending March 31, 2024, $500,000 of principal under the December Yorkville Convertible Note was converted into 788,211 Class A Common stock of the Company and the full principal amount of $1,000,000 under the February Yorkville Convertible Note was converted into 1,445,524 Class A Common stock of the Company.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principal amount outstanding under the Yorkville Convertible Notes was $3 million and $2 million, respectively. During the three months ended March 31, 2024, the Company recorded interest expense of $0 in connection with the Yorkville Convertible Notes.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GEM Promissory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20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issued an aggregate of 139,470 shares of Class A Common Stock to GEM in lieu of monthly payment obligations and the remaining balance of the GEM Promissory Note as of March 31, 2024 is $900,000.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on Debt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on debt totals $3.4 million for the three months ended March 31, 2024, representing the aggregate interest expenses / payments obligation to be paid and to be recognized during the rest of the terms of the Loan Agreements and Senior Convertible Notes, described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 has an operating lease for its real estate for office use. The lease term expires in October 2024. Banzai adopted ASC 842 Leases by applying the guidance at adoption date, January 1, 2022. The $158,965 balance recognized as of March 31, 2024 represents the future minimum lease payments under non-cancellable leases as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Debt Structure and Maturity Profile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Carrying</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5"/>
              </w:rPr>
              <w:t>Value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and</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Discount /</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Carrying</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Accrued</w:t>
            </w:r>
          </w:p>
        </w:tc>
        <w:tc>
          <w:tcPr>
            <w:tcW w:w="1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w:t>
            </w:r>
          </w:p>
        </w:tc>
      </w:tr>
      <w:tr>
        <w:trPr>
          <w:trHeight w:val="211"/>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Issuance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5"/>
              </w:rPr>
              <w:t>Value</w:t>
            </w:r>
          </w:p>
        </w:tc>
        <w:tc>
          <w:tcPr>
            <w:tcW w:w="12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0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6"/>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r>
      <w:tr>
        <w:trPr>
          <w:trHeight w:val="239"/>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- 14% CB PF term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6,949</w:t>
            </w:r>
          </w:p>
        </w:tc>
      </w:tr>
      <w:tr>
        <w:trPr>
          <w:trHeight w:val="24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- 8% Alco promissory notes</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3,083</w:t>
            </w:r>
          </w:p>
        </w:tc>
      </w:tr>
      <w:tr>
        <w:trPr>
          <w:trHeight w:val="239"/>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Yorkville Convertible promissory note</w:t>
            </w:r>
          </w:p>
        </w:tc>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3,064</w:t>
            </w:r>
          </w:p>
        </w:tc>
      </w:tr>
      <w:tr>
        <w:trPr>
          <w:trHeight w:val="247"/>
        </w:trPr>
        <w:tc>
          <w:tcPr>
            <w:tcW w:w="5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principal - 14% CB PF convertible notes</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2,809</w:t>
            </w:r>
          </w:p>
        </w:tc>
      </w:tr>
      <w:tr>
        <w:trPr>
          <w:trHeight w:val="243"/>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principal - GEM promissory note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r>
      <w:tr>
        <w:trPr>
          <w:trHeight w:val="276"/>
        </w:trPr>
        <w:tc>
          <w:tcPr>
            <w:tcW w:w="55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carrying values at March 31, 2024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16,621</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(1,533 )</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15,088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Yorkville Convertible promissory note is presented at its fair value on the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Banzai’s existing leases contain escalation clauses and renewal options. Banzai is not reasonably certain that renewal options will be exercised upon expiration of the initial terms of its existing leases. Prior to adoption of ASU 2016-02 effective January 1, 2022, Banzai accounted for operating lease transactions by recording lease expense on a straight-line basis over the expected term of the lease.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underwriting fees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December 28, 2023, the Company and Cantor amended the Fee Reduction Agreement to provide that the Reduced Deferred Fee was payable in the form of 1,113,927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The fair value of the 1,113,927 shares of Class A Common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Stock was determined to be $2,450,639 on December 28, 2023 based on the Company's opening stock price of $2.20. Although the Company issued the Cantor Fee Shares, as of March 31,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March 31, 2024 balance sheet.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 commitment fee liability</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March 31, 2024, the Company recognized, concurrent with the close of the merger, a liability for the GEM commitment fee, along with a corresponding GEM commitment fee expense, in the amount of $2.0 million.</w:t>
      </w:r>
    </w:p>
    <w:p>
      <w:pPr>
        <w:spacing w:after="0" w:line="16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spacing w:after="0" w:line="14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unaudited condensed consolidated interim financial statements, we have issued an aggregate of 139,470 shares of Class A Common Stock to GEM in lieu of monthly payment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conducted an evaluation (pursuant to Rule 13a-15(b) of the Exchange Act), under the supervision and with the participation of management, including the Principal Executive Officer and Principal Financial Officer, of the effectiveness of the Company’s disclosure controls and procedures (as defined in Rule 13a-15(e)) as of March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These disclosure controls and procedures are designed to ensure that information required to be disclosed in the Company’s reports that are filed or submitted under the Exchange Act is recorded, processed, summarized and reported within the time periods specified in the Securities and Exchange Commission’s rules and forms. The Company’s disclosure controls and procedures include, without limitation, controls and procedures designed to ensure that this information is accumulated and communicated to management, including the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have concluded that, as a result of the continuing material weaknesses in our internal control over financial reporting noted below, our disclosure controls and procedures were not effective as of March 31, 2024.</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Previously Identified Material Weaknesses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concluded that it had a material weaknesses in its IT General Controls, adherence to the Committee of Sponsoring Organizations (“COSO”) of the Treadway Commission in Internal Control — Integrated Framework (2013), and period end financial close and reporting process as described below.</w:t>
      </w:r>
    </w:p>
    <w:p>
      <w:pPr>
        <w:spacing w:after="0" w:line="282" w:lineRule="exact"/>
        <w:rPr>
          <w:sz w:val="20"/>
          <w:szCs w:val="20"/>
          <w:color w:val="auto"/>
        </w:rPr>
      </w:pPr>
    </w:p>
    <w:p>
      <w:pPr>
        <w:ind w:left="1020" w:hanging="503"/>
        <w:spacing w:after="0" w:line="284" w:lineRule="auto"/>
        <w:tabs>
          <w:tab w:leader="none" w:pos="10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IT General Controls </w:t>
      </w:r>
      <w:r>
        <w:rPr>
          <w:rFonts w:ascii="Times New Roman" w:cs="Times New Roman" w:eastAsia="Times New Roman" w:hAnsi="Times New Roman"/>
          <w:sz w:val="18"/>
          <w:szCs w:val="18"/>
          <w:color w:val="auto"/>
        </w:rPr>
        <w:t>- We did not maintain an effective IT control environment because we did not maintain a formal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program, sufficient provisioning, deprovisioning, user access reviews, and reviews of service organizations.</w:t>
      </w:r>
    </w:p>
    <w:p>
      <w:pPr>
        <w:spacing w:after="0" w:line="50" w:lineRule="exact"/>
        <w:rPr>
          <w:rFonts w:ascii="Times New Roman" w:cs="Times New Roman" w:eastAsia="Times New Roman" w:hAnsi="Times New Roman"/>
          <w:sz w:val="18"/>
          <w:szCs w:val="18"/>
          <w:i w:val="1"/>
          <w:iCs w:val="1"/>
          <w:color w:val="auto"/>
        </w:rPr>
      </w:pPr>
    </w:p>
    <w:p>
      <w:pPr>
        <w:ind w:left="1020" w:right="20" w:hanging="503"/>
        <w:spacing w:after="0" w:line="284" w:lineRule="auto"/>
        <w:tabs>
          <w:tab w:leader="none" w:pos="10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COSO Entity Level Controls </w:t>
      </w:r>
      <w:r>
        <w:rPr>
          <w:rFonts w:ascii="Times New Roman" w:cs="Times New Roman" w:eastAsia="Times New Roman" w:hAnsi="Times New Roman"/>
          <w:sz w:val="18"/>
          <w:szCs w:val="18"/>
          <w:color w:val="auto"/>
        </w:rPr>
        <w:t>- We did not maintain effective controls over the identification and monitoring of related party relationships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have not yet implemented a formal delegation of authority process.</w:t>
      </w:r>
    </w:p>
    <w:p>
      <w:pPr>
        <w:spacing w:after="0" w:line="50"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Period end financial close and reporting </w:t>
      </w:r>
      <w:r>
        <w:rPr>
          <w:rFonts w:ascii="Times New Roman" w:cs="Times New Roman" w:eastAsia="Times New Roman" w:hAnsi="Times New Roman"/>
          <w:sz w:val="18"/>
          <w:szCs w:val="18"/>
          <w:color w:val="auto"/>
        </w:rPr>
        <w:t>- Our assessment of internal controls has identified a material weakness whereby the CFO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administrative access to the General Ledger (“GL”) system. Given the concentration of responsibility includes approval of key transactions, bank account reconciliations, and journal entries, administrative access to the GL system should be restricted to personnel outside of Accounting and Finance function.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Remediation of Material Weaknesses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described above, as well as the continued improvement of our internal control over financial reporting. We are in the process of taking steps to remediate the identified material weaknesses and continue to evaluate our internal controls over financial reporting, including the following: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IT General Controls:</w:t>
      </w:r>
    </w:p>
    <w:p>
      <w:pPr>
        <w:spacing w:after="0" w:line="11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enhanced segregation of duties and workflow approvals to prevent unauthorized changes in our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utilizing the services of external consultants to review our internal controls environment and make recommendations to remediate the material weaknesses in our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utilizing the services of external consultants to complete a formal cybersecurity assessment and subsequently identified remediation plans to address any gaps and weaknesses.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the services of external consultants to assist in the development of an incident response plan to mitigate the IT control risk, which we expect to formalize in 2024.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COSO Entity Level Controls:</w:t>
      </w:r>
    </w:p>
    <w:p>
      <w:pPr>
        <w:spacing w:after="0" w:line="119" w:lineRule="exact"/>
        <w:rPr>
          <w:sz w:val="20"/>
          <w:szCs w:val="20"/>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the services of external consultants to assist in the identification and documentation of entity level controls as of March 31, 2024. Additionally, in Q1 2024 we completed a formal COSO mapping document and remediation plans have been drafted where gaps were identified.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an Audit Committee, Compensation Committee, Nominating and Governance Committee and Board of Directors immediately post-merger.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Period End Financial Close and Reporting:</w:t>
      </w:r>
    </w:p>
    <w:p>
      <w:pPr>
        <w:spacing w:after="0" w:line="119" w:lineRule="exact"/>
        <w:rPr>
          <w:sz w:val="20"/>
          <w:szCs w:val="20"/>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utilizing the services of external consultants to assess our overall security role design and privileged user access for each of our in-scope applications, including our general ledger system. We expect to implement certain user access changes during the second quarter of 2024 and further system-wide changes thereafter.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We cannot assure you that we will be successful in remediating the material weaknesses in a timely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conducted an evaluation of the internal control over financial reporting to determine whether any changes occurred during the quarter ended March 31, 2024, that have materially affected, or are reasonably likely to materially affect, our internal control over financial reporting. Based on that evaluation, our Principal Executive Officer and our Principal Financial Officer concluded that, other than the changes described above regarding our steps to remediate our material weaknesses, there was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You should carefully review and consider the information regarding certain factors that could materially affect our business, financial condition or future results set forth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our Annual Report on Form 10-K for the year ended December 31, 2023. There have been no material changes from the risk factors since the filing of the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5, 2024, and March 26, 2024, the Company issued convertible promissory notes in the principal amount of $1.0 million and $1.5 million, respectively, to Yorkville pursuant to the SEPA. In February and March 2024, the Company issued 2,233,735 shares of Class A common stock to Yorkville upon conversion of $1.5 million of the Yorkville Promissory Notes. In addition, on March 18, 2024, the Company issued 710,025 shares of Class A common stock to Yorkville in satisfaction of a deferred fee payment in the amount of $500,000. The issuance by the Company of the Yorkville Promissory Notes and the shares of Class A common stock issued to Yorkville have not been registered under the Securities Act in reliance on the exemption from registration provided by Section 4(a)(2) of the Securities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5, 2024, the Company issued the GEM Promissory Note in the principal amount of $1.0 million to GEM pursuant to the GEM Settlement Agreement. On March 5, 2024, the Company issued 139,470 shares of Class A common stock to GEM as repayment of $100,000 aggregate principal amount outstanding under the GEM Promissory Note. The issuance by the Company of the GEM Promissory Note and the shares of Class A common stock issued to GEM have not been registered under the Securities Act in reliance on the exemption from registration provided by Section 4(a)(2) of the Securities Act.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Roth Shares</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February 2, 2024, the Company issued 175,000 shares of Class A common stock to Roth pursuant to the Roth Addendum as consideration for advisory services provided by Roth in connection with the Business Combination. Such shares were issued in a transaction exempt from registration in reliance on Section 4(a)(2) of the Securities Act.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Marketing Agreement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Effective March 20, 2024, the Company issued to a consultant (the “Marketing Consultant”) 153,492 shares of its Class A common stock, which shares represented $200,000 of compensation for the Marketing Consultant’s services under a marketing services agreement. The shares were issued to the Marketing Consultant in a transaction exempt from registration in reliance on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these terms are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040" w:type="dxa"/>
            <w:vAlign w:val="bottom"/>
            <w:tcBorders>
              <w:bottom w:val="single" w:sz="8" w:color="auto"/>
            </w:tcBorders>
            <w:gridSpan w:val="22"/>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6"/>
                <w:szCs w:val="16"/>
                <w:color w:val="auto"/>
              </w:rPr>
            </w:pPr>
          </w:p>
        </w:tc>
        <w:tc>
          <w:tcPr>
            <w:tcW w:w="9840" w:type="dxa"/>
            <w:vAlign w:val="bottom"/>
            <w:tcBorders>
              <w:bottom w:val="single" w:sz="8" w:color="0000FF"/>
            </w:tcBorders>
            <w:gridSpan w:val="24"/>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Unsecured Promissory Note, dated February 5, 2024, issued by Banzai International, Inc. to GEM Global Yield LLC SCS (incorporated</w:t>
              </w:r>
            </w:hyperlink>
          </w:p>
        </w:tc>
        <w:tc>
          <w:tcPr>
            <w:tcW w:w="2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by reference to Exhibit 10.4 of the Current Report on Form 8-K filed on February 8, 2024).</w:t>
              </w:r>
            </w:hyperlink>
          </w:p>
        </w:tc>
        <w:tc>
          <w:tcPr>
            <w:tcW w:w="20" w:type="dxa"/>
            <w:vAlign w:val="bottom"/>
            <w:tcBorders>
              <w:bottom w:val="single" w:sz="8" w:color="0000EE"/>
            </w:tcBorders>
          </w:tcPr>
          <w:p>
            <w:pPr>
              <w:spacing w:after="0"/>
              <w:rPr>
                <w:sz w:val="17"/>
                <w:szCs w:val="17"/>
                <w:color w:val="auto"/>
              </w:rPr>
            </w:pPr>
          </w:p>
        </w:tc>
        <w:tc>
          <w:tcPr>
            <w:tcW w:w="3260" w:type="dxa"/>
            <w:vAlign w:val="bottom"/>
            <w:gridSpan w:val="18"/>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95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Promissory Note, dated as of February 5, 2024, issued by Banzai International, Inc. to YA II PN, LTD (incorporated by reference to</w:t>
              </w:r>
            </w:hyperlink>
          </w:p>
        </w:tc>
        <w:tc>
          <w:tcPr>
            <w:tcW w:w="340" w:type="dxa"/>
            <w:vAlign w:val="bottom"/>
            <w:gridSpan w:val="6"/>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Exhibit 4.11 of Amendment No. 1 to the Registration Statement on Form S-1 filed on February 5, 2024).</w:t>
              </w:r>
            </w:hyperlink>
          </w:p>
        </w:tc>
        <w:tc>
          <w:tcPr>
            <w:tcW w:w="20" w:type="dxa"/>
            <w:vAlign w:val="bottom"/>
            <w:tcBorders>
              <w:bottom w:val="single" w:sz="8" w:color="0000EE"/>
            </w:tcBorders>
          </w:tcPr>
          <w:p>
            <w:pPr>
              <w:spacing w:after="0"/>
              <w:rPr>
                <w:sz w:val="17"/>
                <w:szCs w:val="17"/>
                <w:color w:val="auto"/>
              </w:rPr>
            </w:pPr>
          </w:p>
        </w:tc>
        <w:tc>
          <w:tcPr>
            <w:tcW w:w="2300" w:type="dxa"/>
            <w:vAlign w:val="bottom"/>
            <w:gridSpan w:val="14"/>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94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Promissory Note, dated as of March 26, 2024, issued by Banzai International, Inc. to YA II PN, LTD (incorporated by reference to</w:t>
              </w:r>
            </w:hyperlink>
          </w:p>
        </w:tc>
        <w:tc>
          <w:tcPr>
            <w:tcW w:w="420" w:type="dxa"/>
            <w:vAlign w:val="bottom"/>
            <w:gridSpan w:val="8"/>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Exhibit 4.10 to the Annual Report on Form 10-K filed on April 1,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94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Supplemental Agreement, dated February 5, 2024, by and between Banzai International, Inc. and YA II PN, LTD (incorporated by</w:t>
              </w:r>
            </w:hyperlink>
          </w:p>
        </w:tc>
        <w:tc>
          <w:tcPr>
            <w:tcW w:w="440" w:type="dxa"/>
            <w:vAlign w:val="bottom"/>
            <w:gridSpan w:val="9"/>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reference to Exhibit 10.29 of Amendment No. 1 to the Registration Statement on Form S-1 filed on February 5, 2024).</w:t>
              </w:r>
            </w:hyperlink>
          </w:p>
        </w:tc>
        <w:tc>
          <w:tcPr>
            <w:tcW w:w="20" w:type="dxa"/>
            <w:vAlign w:val="bottom"/>
            <w:tcBorders>
              <w:bottom w:val="single" w:sz="8" w:color="0000EE"/>
            </w:tcBorders>
          </w:tcPr>
          <w:p>
            <w:pPr>
              <w:spacing w:after="0"/>
              <w:rPr>
                <w:sz w:val="17"/>
                <w:szCs w:val="17"/>
                <w:color w:val="auto"/>
              </w:rPr>
            </w:pPr>
          </w:p>
        </w:tc>
        <w:tc>
          <w:tcPr>
            <w:tcW w:w="1300" w:type="dxa"/>
            <w:vAlign w:val="bottom"/>
            <w:gridSpan w:val="12"/>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94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Settlement Agreement, dated February 5, 2024, by and between Banzai International, Inc., GEM Global Yield LLC SCS and GEM</w:t>
              </w:r>
            </w:hyperlink>
          </w:p>
        </w:tc>
        <w:tc>
          <w:tcPr>
            <w:tcW w:w="380" w:type="dxa"/>
            <w:vAlign w:val="bottom"/>
            <w:gridSpan w:val="7"/>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Yield Bahamas Limited (incorporated by reference to Exhibit 10.27 of Amendment No. 1 to the Registration Statement on Form S-1</w:t>
              </w:r>
            </w:hyperlink>
          </w:p>
        </w:tc>
        <w:tc>
          <w:tcPr>
            <w:tcW w:w="28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filed on February 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96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Addendum to Letter Agreements, dated February 5, 2024, by and between Banzai International, Inc. and Roth Capital Partners, LLC</w:t>
              </w:r>
            </w:hyperlink>
          </w:p>
        </w:tc>
        <w:tc>
          <w:tcPr>
            <w:tcW w:w="260" w:type="dxa"/>
            <w:vAlign w:val="bottom"/>
            <w:gridSpan w:val="4"/>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(incorporated by reference to Exhibit 10.30 of Amendment No. 1 to the Registration Statement on Form S-1 filed on February 5, 2024).</w:t>
              </w:r>
            </w:hyperlink>
          </w:p>
        </w:tc>
        <w:tc>
          <w:tcPr>
            <w:tcW w:w="80" w:type="dxa"/>
            <w:vAlign w:val="bottom"/>
            <w:gridSpan w:val="2"/>
          </w:tcPr>
          <w:p>
            <w:pPr>
              <w:spacing w:after="0"/>
              <w:rPr>
                <w:sz w:val="17"/>
                <w:szCs w:val="17"/>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9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Banzai International, Inc. 2023 Equity Incentive Plan (incorporated by reference to Exhibit 99.1 to the Registration Statement on Form</w:t>
              </w:r>
            </w:hyperlink>
          </w:p>
        </w:tc>
        <w:tc>
          <w:tcPr>
            <w:tcW w:w="100" w:type="dxa"/>
            <w:vAlign w:val="bottom"/>
            <w:gridSpan w:val="3"/>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S-8 filed on March 25,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97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Banzai International, Inc. 2023 Employee Stock Purchase Plan (incorporated by reference to Exhibit 99.2 to the Registration Statement</w:t>
              </w:r>
            </w:hyperlink>
          </w:p>
        </w:tc>
        <w:tc>
          <w:tcPr>
            <w:tcW w:w="80" w:type="dxa"/>
            <w:vAlign w:val="bottom"/>
            <w:gridSpan w:val="2"/>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on Form S-8 filed on March 25,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right w:val="single" w:sz="8" w:color="0000EE"/>
            </w:tcBorders>
            <w:gridSpan w:val="3"/>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9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c>
          <w:tcPr>
            <w:tcW w:w="460" w:type="dxa"/>
            <w:vAlign w:val="bottom"/>
            <w:gridSpan w:val="10"/>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9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c>
          <w:tcPr>
            <w:tcW w:w="500" w:type="dxa"/>
            <w:vAlign w:val="bottom"/>
            <w:gridSpan w:val="11"/>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234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16"/>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7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pursuant to Section 906 of the Sarbanes-Oxley Act of 2002</w:t>
            </w:r>
          </w:p>
        </w:tc>
        <w:tc>
          <w:tcPr>
            <w:tcW w:w="2600" w:type="dxa"/>
            <w:vAlign w:val="bottom"/>
            <w:gridSpan w:val="16"/>
          </w:tcPr>
          <w:p>
            <w:pPr>
              <w:spacing w:after="0"/>
              <w:rPr>
                <w:sz w:val="19"/>
                <w:szCs w:val="19"/>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Certifications of Chief Financial Officer pursuant to Section 906 of the Sarbanes-Oxley Act of 2002</w:t>
            </w: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Borders>
              <w:right w:val="single" w:sz="8" w:color="0000EE"/>
            </w:tcBorders>
            <w:gridSpan w:val="8"/>
            <w:shd w:val="clear" w:color="auto" w:fill="0000FF"/>
          </w:tcPr>
          <w:p>
            <w:pPr>
              <w:spacing w:after="0" w:line="20" w:lineRule="exact"/>
              <w:rPr>
                <w:sz w:val="1"/>
                <w:szCs w:val="1"/>
                <w:color w:val="auto"/>
              </w:rPr>
            </w:pPr>
          </w:p>
        </w:tc>
        <w:tc>
          <w:tcPr>
            <w:tcW w:w="2640" w:type="dxa"/>
            <w:vAlign w:val="bottom"/>
            <w:gridSpan w:val="17"/>
          </w:tcPr>
          <w:p>
            <w:pPr>
              <w:spacing w:after="0" w:line="20" w:lineRule="exact"/>
              <w:rPr>
                <w:sz w:val="1"/>
                <w:szCs w:val="1"/>
                <w:color w:val="auto"/>
              </w:rPr>
            </w:pPr>
          </w:p>
        </w:tc>
      </w:tr>
      <w:tr>
        <w:trPr>
          <w:trHeight w:val="245"/>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 ***</w:t>
            </w:r>
          </w:p>
        </w:tc>
        <w:tc>
          <w:tcPr>
            <w:tcW w:w="120" w:type="dxa"/>
            <w:vAlign w:val="bottom"/>
          </w:tcPr>
          <w:p>
            <w:pPr>
              <w:spacing w:after="0"/>
              <w:rPr>
                <w:sz w:val="21"/>
                <w:szCs w:val="21"/>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120" w:type="dxa"/>
            <w:vAlign w:val="bottom"/>
          </w:tcPr>
          <w:p>
            <w:pPr>
              <w:spacing w:after="0"/>
              <w:rPr>
                <w:sz w:val="21"/>
                <w:szCs w:val="21"/>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1"/>
                <w:szCs w:val="21"/>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1360" w:hanging="1248"/>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360" w:hanging="1248"/>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6" w:lineRule="exact"/>
        <w:rPr>
          <w:sz w:val="20"/>
          <w:szCs w:val="20"/>
          <w:color w:val="auto"/>
        </w:rPr>
      </w:pPr>
    </w:p>
    <w:p>
      <w:pPr>
        <w:ind w:left="1360" w:right="420" w:hanging="1248"/>
        <w:spacing w:after="0" w:line="266"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ind w:left="1360" w:hanging="1248"/>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 on May 15, 2024.</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79"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3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83"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Musburger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Mark Musburger</w:t>
      </w:r>
    </w:p>
    <w:p>
      <w:pPr>
        <w:spacing w:after="0" w:line="3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Davy,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Musburger,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Musburger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Mark Musburger</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March 31, 2024, as filed with the Securities and Exchange Commission on or about the date hereof (the “Report”), I, Joseph Davy,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580" w:val="left"/>
          <w:tab w:leader="none" w:pos="80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Banzai International, Inc. (the “Company”) for the quarter ended March 31, 2024, as filed with the Securities and Exchange Commission on or about the date hereof (the “Report”), I, Mark Musburger,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580" w:val="left"/>
          <w:tab w:leader="none" w:pos="790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Musburger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Mark Musburger</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quot;"/>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181" Type="http://schemas.openxmlformats.org/officeDocument/2006/relationships/hyperlink" Target="https://www.sec.gov/Archives/edgar/data/1826011/000119312524028341/d744391dex104.htm" TargetMode="External"/><Relationship Id="rId182" Type="http://schemas.openxmlformats.org/officeDocument/2006/relationships/hyperlink" Target="https://www.sec.gov/Archives/edgar/data/1826011/000119312524023808/d567008dex411.htm" TargetMode="External"/><Relationship Id="rId183" Type="http://schemas.openxmlformats.org/officeDocument/2006/relationships/hyperlink" Target="https://www.sec.gov/Archives/edgar/data/1826011/000095017024039543/bnzi-ex4_10.htm" TargetMode="External"/><Relationship Id="rId184" Type="http://schemas.openxmlformats.org/officeDocument/2006/relationships/hyperlink" Target="https://www.sec.gov/Archives/edgar/data/1826011/000119312524023808/d567008dex1029.htm" TargetMode="External"/><Relationship Id="rId185" Type="http://schemas.openxmlformats.org/officeDocument/2006/relationships/hyperlink" Target="https://www.sec.gov/Archives/edgar/data/1826011/000119312524023808/d567008dex1027.htm" TargetMode="External"/><Relationship Id="rId186" Type="http://schemas.openxmlformats.org/officeDocument/2006/relationships/hyperlink" Target="https://www.sec.gov/Archives/edgar/data/1826011/000119312524023808/d567008dex1030.htm" TargetMode="External"/><Relationship Id="rId187" Type="http://schemas.openxmlformats.org/officeDocument/2006/relationships/hyperlink" Target="https://www.sec.gov/Archives/edgar/data/1826011/000119312524076619/d810637dex991.htm" TargetMode="External"/><Relationship Id="rId188" Type="http://schemas.openxmlformats.org/officeDocument/2006/relationships/hyperlink" Target="https://www.sec.gov/Archives/edgar/data/1826011/000119312524076619/d810637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2024-05-15T16:43:00Z</dcterms:created>
  <dcterms:modified xsi:type="dcterms:W3CDTF">2024-05-15T16:43:00Z</dcterms:modified>
</cp:coreProperties>
</file>