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ara-20260630.htm"/>
      <w:bookmarkStart w:id="1" w:name="kspara20260630"/>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10-Q</w:t>
      </w:r>
    </w:p>
    <w:p>
      <w:pPr>
        <w:pStyle w:val="TextBody"/>
        <w:pBdr>
          <w:bottom w:val="single" w:sz="8" w:space="1" w:color="000000"/>
        </w:pBdr>
        <w:bidi w:val="0"/>
        <w:jc w:val="center"/>
        <w:rPr/>
      </w:pPr>
      <w:r>
        <w:rPr/>
        <w:t> </w:t>
      </w:r>
    </w:p>
    <w:p>
      <w:pPr>
        <w:pStyle w:val="TextBody"/>
        <w:bidi w:val="0"/>
        <w:spacing w:before="60" w:after="283"/>
        <w:jc w:val="left"/>
        <w:rPr/>
      </w:pPr>
      <w:r>
        <w:rPr/>
        <w:t> </w:t>
      </w:r>
    </w:p>
    <w:tbl>
      <w:tblPr>
        <w:tblW w:w="9811" w:type="dxa"/>
        <w:jc w:val="left"/>
        <w:tblInd w:w="0" w:type="dxa"/>
        <w:tblLayout w:type="fixed"/>
        <w:tblCellMar>
          <w:top w:w="28" w:type="dxa"/>
          <w:left w:w="28" w:type="dxa"/>
          <w:bottom w:w="28" w:type="dxa"/>
          <w:right w:w="28" w:type="dxa"/>
        </w:tblCellMar>
      </w:tblPr>
      <w:tblGrid>
        <w:gridCol w:w="9811"/>
      </w:tblGrid>
      <w:tr>
        <w:trPr/>
        <w:tc>
          <w:tcPr>
            <w:tcW w:w="9811" w:type="dxa"/>
            <w:tcBorders/>
            <w:vAlign w:val="center"/>
          </w:tcPr>
          <w:p>
            <w:pPr>
              <w:pStyle w:val="TableContents"/>
              <w:bidi w:val="0"/>
              <w:spacing w:before="0" w:after="283"/>
              <w:jc w:val="left"/>
              <w:rPr>
                <w:sz w:val="4"/>
                <w:szCs w:val="4"/>
              </w:rPr>
            </w:pPr>
            <w:r>
              <w:rPr>
                <w:sz w:val="4"/>
                <w:szCs w:val="4"/>
              </w:rPr>
            </w:r>
          </w:p>
        </w:tc>
      </w:tr>
      <w:tr>
        <w:trPr/>
        <w:tc>
          <w:tcPr>
            <w:tcW w:w="981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quarterly period ended June 30, 2026</w:t>
      </w:r>
    </w:p>
    <w:p>
      <w:pPr>
        <w:pStyle w:val="TextBody"/>
        <w:bidi w:val="0"/>
        <w:spacing w:before="60" w:after="283"/>
        <w:jc w:val="center"/>
        <w:rPr>
          <w:rFonts w:ascii="Times New Roman" w:hAnsi="Times New Roman"/>
          <w:sz w:val="20"/>
        </w:rPr>
      </w:pPr>
      <w:r>
        <w:rPr>
          <w:rFonts w:ascii="Times New Roman" w:hAnsi="Times New Roman"/>
          <w:color w:val="000000"/>
          <w:sz w:val="16"/>
        </w:rPr>
        <w:t>or</w:t>
      </w:r>
      <w:r>
        <w:rPr>
          <w:rFonts w:ascii="Times New Roman" w:hAnsi="Times New Roman"/>
          <w:color w:val="000000"/>
          <w:sz w:val="20"/>
        </w:rPr>
        <w:t xml:space="preserve"> </w:t>
      </w:r>
    </w:p>
    <w:tbl>
      <w:tblPr>
        <w:tblW w:w="9766" w:type="dxa"/>
        <w:jc w:val="left"/>
        <w:tblInd w:w="0" w:type="dxa"/>
        <w:tblLayout w:type="fixed"/>
        <w:tblCellMar>
          <w:top w:w="28" w:type="dxa"/>
          <w:left w:w="28" w:type="dxa"/>
          <w:bottom w:w="28" w:type="dxa"/>
          <w:right w:w="28" w:type="dxa"/>
        </w:tblCellMar>
      </w:tblPr>
      <w:tblGrid>
        <w:gridCol w:w="9766"/>
      </w:tblGrid>
      <w:tr>
        <w:trPr/>
        <w:tc>
          <w:tcPr>
            <w:tcW w:w="9766" w:type="dxa"/>
            <w:tcBorders/>
            <w:vAlign w:val="center"/>
          </w:tcPr>
          <w:p>
            <w:pPr>
              <w:pStyle w:val="TableContents"/>
              <w:bidi w:val="0"/>
              <w:spacing w:before="0" w:after="283"/>
              <w:jc w:val="left"/>
              <w:rPr>
                <w:sz w:val="4"/>
                <w:szCs w:val="4"/>
              </w:rPr>
            </w:pPr>
            <w:r>
              <w:rPr>
                <w:sz w:val="4"/>
                <w:szCs w:val="4"/>
              </w:rPr>
            </w:r>
          </w:p>
        </w:tc>
      </w:tr>
      <w:tr>
        <w:trPr/>
        <w:tc>
          <w:tcPr>
            <w:tcW w:w="9766" w:type="dxa"/>
            <w:tcBorders/>
            <w:tcMar>
              <w:top w:w="0" w:type="dxa"/>
              <w:left w:w="0" w:type="dxa"/>
              <w:bottom w:w="0" w:type="dxa"/>
              <w:right w:w="0" w:type="dxa"/>
            </w:tcMar>
            <w:vAlign w:val="center"/>
          </w:tcPr>
          <w:p>
            <w:pPr>
              <w:pStyle w:val="TableContents"/>
              <w:bidi w:val="0"/>
              <w:spacing w:before="60" w:after="283"/>
              <w:jc w:val="center"/>
              <w:rPr/>
            </w:pPr>
            <w:r>
              <w:rPr>
                <w:color w:val="000000"/>
              </w:rPr>
              <w:t>☐  </w:t>
            </w: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transition period from _________ to _________</w:t>
      </w:r>
    </w:p>
    <w:p>
      <w:pPr>
        <w:pStyle w:val="TextBody"/>
        <w:bidi w:val="0"/>
        <w:spacing w:before="60" w:after="283"/>
        <w:jc w:val="center"/>
        <w:rPr>
          <w:rFonts w:ascii="Times New Roman" w:hAnsi="Times New Roman"/>
          <w:sz w:val="20"/>
        </w:rPr>
      </w:pPr>
      <w:r>
        <w:rPr>
          <w:rFonts w:ascii="Times New Roman" w:hAnsi="Times New Roman"/>
          <w:color w:val="000000"/>
          <w:sz w:val="16"/>
        </w:rPr>
        <w:t xml:space="preserve">Commission File Number: </w:t>
      </w:r>
      <w:r>
        <w:rPr>
          <w:rFonts w:ascii="Times New Roman" w:hAnsi="Times New Roman"/>
          <w:b/>
          <w:color w:val="000000"/>
          <w:sz w:val="18"/>
        </w:rPr>
        <w:t>001-39826</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Banzai International,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8" w:space="1" w:color="000000"/>
        </w:pBdr>
        <w:bidi w:val="0"/>
        <w:jc w:val="center"/>
        <w:rPr/>
      </w:pPr>
      <w:r>
        <w:rPr/>
        <w:t> </w:t>
      </w:r>
    </w:p>
    <w:tbl>
      <w:tblPr>
        <w:tblW w:w="3602" w:type="dxa"/>
        <w:jc w:val="left"/>
        <w:tblInd w:w="0" w:type="dxa"/>
        <w:tblLayout w:type="fixed"/>
        <w:tblCellMar>
          <w:top w:w="28" w:type="dxa"/>
          <w:left w:w="28" w:type="dxa"/>
          <w:bottom w:w="28" w:type="dxa"/>
          <w:right w:w="28" w:type="dxa"/>
        </w:tblCellMar>
      </w:tblPr>
      <w:tblGrid>
        <w:gridCol w:w="238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85-3118980</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r>
        <w:trPr/>
        <w:tc>
          <w:tcPr>
            <w:tcW w:w="23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16"/>
              </w:rPr>
              <w:t>435 Ericksen Ave, Suite 250</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Bainbridge Island, Washington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98110</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(206) 414-1777</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54"/>
        <w:gridCol w:w="146"/>
        <w:gridCol w:w="690"/>
        <w:gridCol w:w="146"/>
        <w:gridCol w:w="2469"/>
      </w:tblGrid>
      <w:tr>
        <w:trPr/>
        <w:tc>
          <w:tcPr>
            <w:tcW w:w="6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r>
      <w:tr>
        <w:trPr/>
        <w:tc>
          <w:tcPr>
            <w:tcW w:w="675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67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4"/>
              </w:rPr>
              <w:t>The Nasdaq</w:t>
            </w:r>
            <w:r>
              <w:rPr>
                <w:rFonts w:ascii="Times New Roman" w:hAnsi="Times New Roman"/>
                <w:color w:val="000000"/>
                <w:sz w:val="20"/>
              </w:rPr>
              <w:t> </w:t>
            </w:r>
            <w:r>
              <w:rPr>
                <w:rFonts w:ascii="Times New Roman" w:hAnsi="Times New Roman"/>
                <w:b/>
                <w:color w:val="000000"/>
                <w:sz w:val="14"/>
              </w:rPr>
              <w:t>Capital Market</w:t>
            </w:r>
          </w:p>
        </w:tc>
      </w:tr>
      <w:tr>
        <w:trPr/>
        <w:tc>
          <w:tcPr>
            <w:tcW w:w="67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Warrants, each whole warrant exercisable for one share of Class A common stock at an exercise price of $115,000.00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PARAW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4"/>
              </w:rPr>
              <w:t>The Nasdaq</w:t>
            </w:r>
            <w:r>
              <w:rPr>
                <w:rFonts w:ascii="Times New Roman" w:hAnsi="Times New Roman"/>
                <w:color w:val="000000"/>
                <w:sz w:val="20"/>
              </w:rPr>
              <w:t> </w:t>
            </w:r>
            <w:r>
              <w:rPr>
                <w:rFonts w:ascii="Times New Roman" w:hAnsi="Times New Roman"/>
                <w:b/>
                <w:color w:val="000000"/>
                <w:sz w:val="14"/>
              </w:rPr>
              <w:t>Capital Market</w:t>
            </w:r>
          </w:p>
        </w:tc>
      </w:tr>
    </w:tbl>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outstanding of each of the registrant's classes of common stock, $0.0001 par value per share, as of August 13, 2026:</w:t>
      </w:r>
    </w:p>
    <w:p>
      <w:pPr>
        <w:pStyle w:val="TextBody"/>
        <w:bidi w:val="0"/>
        <w:spacing w:before="60" w:after="283"/>
        <w:jc w:val="left"/>
        <w:rPr>
          <w:rFonts w:ascii="Times New Roman" w:hAnsi="Times New Roman"/>
          <w:sz w:val="20"/>
        </w:rPr>
      </w:pPr>
      <w:r>
        <w:rPr>
          <w:rFonts w:ascii="Times New Roman" w:hAnsi="Times New Roman"/>
          <w:color w:val="000000"/>
          <w:sz w:val="18"/>
        </w:rPr>
        <w:t>Class A Common Stock - 3,517,105</w:t>
      </w:r>
      <w:r>
        <w:rPr>
          <w:rFonts w:ascii="Times New Roman" w:hAnsi="Times New Roman"/>
          <w:color w:val="000000"/>
          <w:sz w:val="20"/>
        </w:rPr>
        <w:t xml:space="preserve"> </w:t>
      </w:r>
      <w:r>
        <w:rPr>
          <w:rFonts w:ascii="Times New Roman" w:hAnsi="Times New Roman"/>
          <w:color w:val="000000"/>
          <w:sz w:val="18"/>
        </w:rPr>
        <w:t>shares</w:t>
      </w:r>
    </w:p>
    <w:p>
      <w:pPr>
        <w:pStyle w:val="TextBody"/>
        <w:bidi w:val="0"/>
        <w:spacing w:before="60" w:after="283"/>
        <w:jc w:val="left"/>
        <w:rPr>
          <w:rFonts w:ascii="Times New Roman" w:hAnsi="Times New Roman"/>
          <w:sz w:val="20"/>
        </w:rPr>
      </w:pPr>
      <w:r>
        <w:rPr>
          <w:rFonts w:ascii="Times New Roman" w:hAnsi="Times New Roman"/>
          <w:color w:val="000000"/>
          <w:sz w:val="18"/>
        </w:rPr>
        <w:t>Class B Common Stock - 33,856</w:t>
      </w:r>
      <w:r>
        <w:rPr>
          <w:rFonts w:ascii="Times New Roman" w:hAnsi="Times New Roman"/>
          <w:color w:val="000000"/>
          <w:sz w:val="20"/>
        </w:rPr>
        <w:t xml:space="preserve"> </w:t>
      </w:r>
      <w:r>
        <w:rPr>
          <w:rFonts w:ascii="Times New Roman" w:hAnsi="Times New Roman"/>
          <w:color w:val="000000"/>
          <w:sz w:val="18"/>
        </w:rPr>
        <w:t>shares</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7"/>
        <w:gridCol w:w="8876"/>
        <w:gridCol w:w="512"/>
      </w:tblGrid>
      <w:tr>
        <w:trPr/>
        <w:tc>
          <w:tcPr>
            <w:tcW w:w="817" w:type="dxa"/>
            <w:tcBorders/>
            <w:vAlign w:val="center"/>
          </w:tcPr>
          <w:p>
            <w:pPr>
              <w:pStyle w:val="TableContents"/>
              <w:bidi w:val="0"/>
              <w:spacing w:before="0" w:after="283"/>
              <w:jc w:val="left"/>
              <w:rPr>
                <w:sz w:val="4"/>
                <w:szCs w:val="4"/>
              </w:rPr>
            </w:pPr>
            <w:r>
              <w:rPr>
                <w:sz w:val="4"/>
                <w:szCs w:val="4"/>
              </w:rPr>
            </w:r>
          </w:p>
        </w:tc>
        <w:tc>
          <w:tcPr>
            <w:tcW w:w="887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as of June 30, 2026 (Unaudited)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Unaudited Condensed Consolidated Statements of Operations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deficit_qtd">
              <w:r>
                <w:rPr>
                  <w:rStyle w:val="InternetLink"/>
                  <w:rFonts w:ascii="Times New Roman" w:hAnsi="Times New Roman"/>
                  <w:color w:val="0000FF"/>
                  <w:sz w:val="20"/>
                  <w:u w:val="single"/>
                </w:rPr>
                <w:t>Unaudited Condensed Consolidated Statements of Changes in Stockholders' Equity (Deficit) for the three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deficit_ytd">
              <w:r>
                <w:rPr>
                  <w:rStyle w:val="InternetLink"/>
                  <w:rFonts w:ascii="Times New Roman" w:hAnsi="Times New Roman"/>
                  <w:color w:val="0000FF"/>
                  <w:sz w:val="20"/>
                  <w:u w:val="single"/>
                </w:rPr>
                <w:t>Unaudited Condensed Consolidated Statements of Changes in Stockholders' Equity (Deficit)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Unaudited Condensed 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market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other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isk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isteredsale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info">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00" w:after="283"/>
        <w:jc w:val="center"/>
        <w:rPr>
          <w:rFonts w:ascii="Times New Roman" w:hAnsi="Times New Roman"/>
          <w:b/>
          <w:color w:val="000000"/>
          <w:sz w:val="20"/>
        </w:rPr>
      </w:pPr>
      <w:bookmarkStart w:id="3" w:name="balance_sheet"/>
      <w:bookmarkEnd w:id="3"/>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44"/>
        <w:gridCol w:w="146"/>
        <w:gridCol w:w="206"/>
        <w:gridCol w:w="789"/>
        <w:gridCol w:w="166"/>
        <w:gridCol w:w="146"/>
        <w:gridCol w:w="226"/>
        <w:gridCol w:w="869"/>
        <w:gridCol w:w="613"/>
      </w:tblGrid>
      <w:tr>
        <w:trPr/>
        <w:tc>
          <w:tcPr>
            <w:tcW w:w="7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net of allowance for credit losses of $6</w:t>
            </w:r>
            <w:r>
              <w:rPr>
                <w:rFonts w:ascii="Times New Roman" w:hAnsi="Times New Roman"/>
                <w:color w:val="000000"/>
                <w:sz w:val="20"/>
              </w:rPr>
              <w:t> </w:t>
            </w:r>
            <w:r>
              <w:rPr>
                <w:rFonts w:ascii="Times New Roman" w:hAnsi="Times New Roman"/>
                <w:color w:val="000000"/>
                <w:sz w:val="16"/>
              </w:rPr>
              <w:t>and $41,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Private placement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275,000,000</w:t>
            </w:r>
            <w:r>
              <w:rPr>
                <w:rFonts w:ascii="Times New Roman" w:hAnsi="Times New Roman"/>
                <w:color w:val="000000"/>
                <w:sz w:val="20"/>
              </w:rPr>
              <w:t> </w:t>
            </w:r>
            <w:r>
              <w:rPr>
                <w:rFonts w:ascii="Times New Roman" w:hAnsi="Times New Roman"/>
                <w:color w:val="000000"/>
                <w:sz w:val="16"/>
              </w:rPr>
              <w:t>(250,000,000</w:t>
            </w:r>
            <w:r>
              <w:rPr>
                <w:rFonts w:ascii="Times New Roman" w:hAnsi="Times New Roman"/>
                <w:color w:val="000000"/>
                <w:sz w:val="20"/>
              </w:rPr>
              <w:t> </w:t>
            </w:r>
            <w:r>
              <w:rPr>
                <w:rFonts w:ascii="Times New Roman" w:hAnsi="Times New Roman"/>
                <w:color w:val="000000"/>
                <w:sz w:val="16"/>
              </w:rPr>
              <w:t>Class A and 25,000,000</w:t>
            </w:r>
            <w:r>
              <w:rPr>
                <w:rFonts w:ascii="Times New Roman" w:hAnsi="Times New Roman"/>
                <w:color w:val="000000"/>
                <w:sz w:val="20"/>
              </w:rPr>
              <w:t> </w:t>
            </w:r>
            <w:r>
              <w:rPr>
                <w:rFonts w:ascii="Times New Roman" w:hAnsi="Times New Roman"/>
                <w:color w:val="000000"/>
                <w:sz w:val="16"/>
              </w:rPr>
              <w:t>Class B) shares authorized and 2,690,579</w:t>
            </w:r>
            <w:r>
              <w:rPr>
                <w:rFonts w:ascii="Times New Roman" w:hAnsi="Times New Roman"/>
                <w:color w:val="000000"/>
                <w:sz w:val="20"/>
              </w:rPr>
              <w:t> </w:t>
            </w:r>
            <w:r>
              <w:rPr>
                <w:rFonts w:ascii="Times New Roman" w:hAnsi="Times New Roman"/>
                <w:color w:val="000000"/>
                <w:sz w:val="16"/>
              </w:rPr>
              <w:t>(2,656,723</w:t>
            </w:r>
            <w:r>
              <w:rPr>
                <w:rFonts w:ascii="Times New Roman" w:hAnsi="Times New Roman"/>
                <w:color w:val="000000"/>
                <w:sz w:val="20"/>
              </w:rPr>
              <w:t> </w:t>
            </w:r>
            <w:r>
              <w:rPr>
                <w:rFonts w:ascii="Times New Roman" w:hAnsi="Times New Roman"/>
                <w:color w:val="000000"/>
                <w:sz w:val="16"/>
              </w:rPr>
              <w:t>Class A and 33,856</w:t>
            </w:r>
            <w:r>
              <w:rPr>
                <w:rFonts w:ascii="Times New Roman" w:hAnsi="Times New Roman"/>
                <w:color w:val="000000"/>
                <w:sz w:val="20"/>
              </w:rPr>
              <w:t> </w:t>
            </w:r>
            <w:r>
              <w:rPr>
                <w:rFonts w:ascii="Times New Roman" w:hAnsi="Times New Roman"/>
                <w:color w:val="000000"/>
                <w:sz w:val="16"/>
              </w:rPr>
              <w:t>Class B) and 527,317</w:t>
            </w:r>
            <w:r>
              <w:rPr>
                <w:rFonts w:ascii="Times New Roman" w:hAnsi="Times New Roman"/>
                <w:color w:val="000000"/>
                <w:sz w:val="20"/>
              </w:rPr>
              <w:t> </w:t>
            </w:r>
            <w:r>
              <w:rPr>
                <w:rFonts w:ascii="Times New Roman" w:hAnsi="Times New Roman"/>
                <w:color w:val="000000"/>
                <w:sz w:val="16"/>
              </w:rPr>
              <w:t>(515,761</w:t>
            </w:r>
            <w:r>
              <w:rPr>
                <w:rFonts w:ascii="Times New Roman" w:hAnsi="Times New Roman"/>
                <w:color w:val="000000"/>
                <w:sz w:val="20"/>
              </w:rPr>
              <w:t> </w:t>
            </w:r>
            <w:r>
              <w:rPr>
                <w:rFonts w:ascii="Times New Roman" w:hAnsi="Times New Roman"/>
                <w:color w:val="000000"/>
                <w:sz w:val="16"/>
              </w:rPr>
              <w:t>Class A and 11,556</w:t>
            </w:r>
            <w:r>
              <w:rPr>
                <w:rFonts w:ascii="Times New Roman" w:hAnsi="Times New Roman"/>
                <w:color w:val="000000"/>
                <w:sz w:val="20"/>
              </w:rPr>
              <w:t> </w:t>
            </w:r>
            <w:r>
              <w:rPr>
                <w:rFonts w:ascii="Times New Roman" w:hAnsi="Times New Roman"/>
                <w:color w:val="000000"/>
                <w:sz w:val="16"/>
              </w:rPr>
              <w:t>Class B) shares issued and outstanding at June 30,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75,000,000</w:t>
            </w:r>
            <w:r>
              <w:rPr>
                <w:rFonts w:ascii="Times New Roman" w:hAnsi="Times New Roman"/>
                <w:color w:val="000000"/>
                <w:sz w:val="20"/>
              </w:rPr>
              <w:t> </w:t>
            </w:r>
            <w:r>
              <w:rPr>
                <w:rFonts w:ascii="Times New Roman" w:hAnsi="Times New Roman"/>
                <w:color w:val="000000"/>
                <w:sz w:val="16"/>
              </w:rPr>
              <w:t>shares authorized, 1</w:t>
            </w:r>
            <w:r>
              <w:rPr>
                <w:rFonts w:ascii="Times New Roman" w:hAnsi="Times New Roman"/>
                <w:color w:val="000000"/>
                <w:sz w:val="20"/>
              </w:rPr>
              <w:t> </w:t>
            </w:r>
            <w:r>
              <w:rPr>
                <w:rFonts w:ascii="Times New Roman" w:hAnsi="Times New Roman"/>
                <w:color w:val="000000"/>
                <w:sz w:val="16"/>
              </w:rPr>
              <w:t>and 1</w:t>
            </w:r>
            <w:r>
              <w:rPr>
                <w:rFonts w:ascii="Times New Roman" w:hAnsi="Times New Roman"/>
                <w:color w:val="000000"/>
                <w:sz w:val="20"/>
              </w:rPr>
              <w:t> </w:t>
            </w:r>
            <w:r>
              <w:rPr>
                <w:rFonts w:ascii="Times New Roman" w:hAnsi="Times New Roman"/>
                <w:color w:val="000000"/>
                <w:sz w:val="16"/>
              </w:rPr>
              <w:t>shares issued and outstanding at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108,912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tatement_of_operations"/>
      <w:bookmarkEnd w:id="4"/>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67"/>
        <w:gridCol w:w="146"/>
        <w:gridCol w:w="303"/>
        <w:gridCol w:w="884"/>
        <w:gridCol w:w="256"/>
        <w:gridCol w:w="225"/>
        <w:gridCol w:w="303"/>
        <w:gridCol w:w="884"/>
        <w:gridCol w:w="166"/>
        <w:gridCol w:w="146"/>
        <w:gridCol w:w="261"/>
        <w:gridCol w:w="884"/>
        <w:gridCol w:w="221"/>
        <w:gridCol w:w="195"/>
        <w:gridCol w:w="261"/>
        <w:gridCol w:w="884"/>
        <w:gridCol w:w="219"/>
      </w:tblGrid>
      <w:tr>
        <w:trPr/>
        <w:tc>
          <w:tcPr>
            <w:tcW w:w="3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13,556</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14,164</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(10,166</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(9,747</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3,349</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(13,515</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(11,729</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(13,382</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(11,572</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(13,382</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(11,572</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(146.48</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statement_of_deficit_qtd"/>
      <w:bookmarkEnd w:id="5"/>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center"/>
        <w:rPr/>
      </w:pPr>
      <w:r>
        <w:rPr/>
        <w:t> </w:t>
      </w:r>
    </w:p>
    <w:tbl>
      <w:tblPr>
        <w:tblW w:w="12473"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826"/>
        <w:gridCol w:w="146"/>
        <w:gridCol w:w="146"/>
        <w:gridCol w:w="249"/>
        <w:gridCol w:w="442"/>
        <w:gridCol w:w="146"/>
        <w:gridCol w:w="146"/>
        <w:gridCol w:w="196"/>
        <w:gridCol w:w="691"/>
        <w:gridCol w:w="166"/>
        <w:gridCol w:w="146"/>
        <w:gridCol w:w="439"/>
        <w:gridCol w:w="777"/>
        <w:gridCol w:w="166"/>
        <w:gridCol w:w="146"/>
        <w:gridCol w:w="217"/>
        <w:gridCol w:w="834"/>
        <w:gridCol w:w="166"/>
        <w:gridCol w:w="146"/>
        <w:gridCol w:w="254"/>
        <w:gridCol w:w="78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867,355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117,346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(109,189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Adjustment for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Yorkville under the SEPA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1,196,400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CP BF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1800 Diagonal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3i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Agile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for CEO Award and bonus (see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Modification of CEO Award from equity to liability (see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2,690,579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126,445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(114,154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12,230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282"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691"/>
        <w:gridCol w:w="146"/>
        <w:gridCol w:w="146"/>
        <w:gridCol w:w="249"/>
        <w:gridCol w:w="442"/>
        <w:gridCol w:w="146"/>
        <w:gridCol w:w="146"/>
        <w:gridCol w:w="214"/>
        <w:gridCol w:w="657"/>
        <w:gridCol w:w="146"/>
        <w:gridCol w:w="146"/>
        <w:gridCol w:w="439"/>
        <w:gridCol w:w="777"/>
        <w:gridCol w:w="146"/>
        <w:gridCol w:w="146"/>
        <w:gridCol w:w="240"/>
        <w:gridCol w:w="811"/>
        <w:gridCol w:w="166"/>
        <w:gridCol w:w="146"/>
        <w:gridCol w:w="264"/>
        <w:gridCol w:w="77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73,434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84,868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2,944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Hudson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upon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123,930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92,875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(89,852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statement_of_deficit_ytd"/>
      <w:bookmarkEnd w:id="6"/>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473"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826"/>
        <w:gridCol w:w="146"/>
        <w:gridCol w:w="146"/>
        <w:gridCol w:w="249"/>
        <w:gridCol w:w="442"/>
        <w:gridCol w:w="146"/>
        <w:gridCol w:w="146"/>
        <w:gridCol w:w="196"/>
        <w:gridCol w:w="691"/>
        <w:gridCol w:w="166"/>
        <w:gridCol w:w="146"/>
        <w:gridCol w:w="439"/>
        <w:gridCol w:w="777"/>
        <w:gridCol w:w="166"/>
        <w:gridCol w:w="146"/>
        <w:gridCol w:w="217"/>
        <w:gridCol w:w="834"/>
        <w:gridCol w:w="166"/>
        <w:gridCol w:w="146"/>
        <w:gridCol w:w="236"/>
        <w:gridCol w:w="800"/>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527,317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108,912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(100,772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Adjustment for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Yorkville under the SEPA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under the ATM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CP BF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1800 Diagonal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3i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Agile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for CEO Award and bonus (see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Modification of CEO Award from equity to liability (see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2,690,579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126,445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(114,154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12,230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282"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691"/>
        <w:gridCol w:w="146"/>
        <w:gridCol w:w="146"/>
        <w:gridCol w:w="249"/>
        <w:gridCol w:w="442"/>
        <w:gridCol w:w="146"/>
        <w:gridCol w:w="146"/>
        <w:gridCol w:w="214"/>
        <w:gridCol w:w="657"/>
        <w:gridCol w:w="146"/>
        <w:gridCol w:w="146"/>
        <w:gridCol w:w="439"/>
        <w:gridCol w:w="777"/>
        <w:gridCol w:w="146"/>
        <w:gridCol w:w="146"/>
        <w:gridCol w:w="240"/>
        <w:gridCol w:w="811"/>
        <w:gridCol w:w="166"/>
        <w:gridCol w:w="146"/>
        <w:gridCol w:w="236"/>
        <w:gridCol w:w="800"/>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40,976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75,516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(78,280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(2,764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Hudson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Verista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upon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Vidello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123,930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92,875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(89,852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pPr>
      <w:r>
        <w:rPr/>
        <w:t> </w:t>
      </w:r>
    </w:p>
    <w:tbl>
      <w:tblPr>
        <w:tblW w:w="8116" w:type="dxa"/>
        <w:jc w:val="left"/>
        <w:tblInd w:w="0" w:type="dxa"/>
        <w:tblLayout w:type="fixed"/>
        <w:tblCellMar>
          <w:top w:w="28" w:type="dxa"/>
          <w:left w:w="28" w:type="dxa"/>
          <w:bottom w:w="28" w:type="dxa"/>
          <w:right w:w="28" w:type="dxa"/>
        </w:tblCellMar>
      </w:tblPr>
      <w:tblGrid>
        <w:gridCol w:w="5456"/>
        <w:gridCol w:w="146"/>
        <w:gridCol w:w="220"/>
        <w:gridCol w:w="678"/>
        <w:gridCol w:w="184"/>
        <w:gridCol w:w="178"/>
        <w:gridCol w:w="220"/>
        <w:gridCol w:w="678"/>
        <w:gridCol w:w="356"/>
      </w:tblGrid>
      <w:tr>
        <w:trPr/>
        <w:tc>
          <w:tcPr>
            <w:tcW w:w="5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(11,572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Provision for credit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shares issued for consulting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Discount at issuance on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debt discount and issuance costs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Gain on extinguishment of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convertible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(9,366</w:t>
            </w:r>
          </w:p>
        </w:tc>
        <w:tc>
          <w:tcPr>
            <w:tcW w:w="18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(9,023</w:t>
            </w:r>
          </w:p>
        </w:tc>
        <w:tc>
          <w:tcPr>
            <w:tcW w:w="3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Cash paid for acquisition of Vidello,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3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Payment of GEM commitment fee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term notes,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Partial repayment of convertible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convertible notes,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shares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shares issued to Verista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pre-funded warrants under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12,867</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1,167</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2,254</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left"/>
        <w:rPr/>
      </w:pPr>
      <w:r>
        <w:rPr/>
        <w:t> </w:t>
      </w:r>
    </w:p>
    <w:tbl>
      <w:tblPr>
        <w:tblW w:w="6369" w:type="dxa"/>
        <w:jc w:val="left"/>
        <w:tblInd w:w="0" w:type="dxa"/>
        <w:tblLayout w:type="fixed"/>
        <w:tblCellMar>
          <w:top w:w="28" w:type="dxa"/>
          <w:left w:w="28" w:type="dxa"/>
          <w:bottom w:w="28" w:type="dxa"/>
          <w:right w:w="28" w:type="dxa"/>
        </w:tblCellMar>
      </w:tblPr>
      <w:tblGrid>
        <w:gridCol w:w="4346"/>
        <w:gridCol w:w="146"/>
        <w:gridCol w:w="181"/>
        <w:gridCol w:w="436"/>
        <w:gridCol w:w="146"/>
        <w:gridCol w:w="146"/>
        <w:gridCol w:w="181"/>
        <w:gridCol w:w="436"/>
        <w:gridCol w:w="351"/>
      </w:tblGrid>
      <w:tr>
        <w:trPr/>
        <w:tc>
          <w:tcPr>
            <w:tcW w:w="4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Hudson consulting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Consideration transferred for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1,662</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Assets acquired in acquisition of 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Liabilities assumed in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3,986</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CP BF Note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Conversion of private placement convertible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payment of outstanding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1800 Diagonal Note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center"/>
        <w:rPr/>
      </w:pPr>
      <w:bookmarkStart w:id="8" w:name="notes_to_financial_statements"/>
      <w:bookmarkEnd w:id="8"/>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Banzai International, Inc. (the “Company,” or “Banzai,” "we," "us," or "our") was incorporated in Delaware on September 30, 2015. We are a leading enterprise SaaS Video Engagement platform used by marketers to power webinars, trainings, virtual events, and on-demand video content.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on August 6, 2026, we began doing business under the trade name "Parabolic." This rebrand does not change our legal name, which remains Banzai International, Inc., and in connection with the rebrand, the trading symbols for our Class A common stock and redeemable warrants on The Nasdaq Capital Market changed from "BNZI" and "BNZIW" to "PARA" and "PARAW," respectively, effective on August 7,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Concurrently with the proposed rebranding, the Company also announced a new business unit structure designed to align leadership and go-to-market execution with its evolved vision. The Company’s operations will be organized into three business units: ConnectAndSell, the Company’s AI sales acceleration platform; Banzai, which will operate the Company’s Demio and OpenReel products; and CreateStudio, an AI-powered video content creation platform. Accordingly, the Company will reassess its operating and reportable segments, and reporting units during the third quarter 2026.</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Reverse Stock Split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1-for-20 effective on May 8,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No cash or fractional shares were issued in connection with the Reverse Stock Split, and instead the Company rounded up to the next whole share in lieu of issuing fractional shares that would have been issued in the reverse split. </w:t>
      </w:r>
      <w:r>
        <w:rPr>
          <w:rFonts w:ascii="Times New Roman" w:hAnsi="Times New Roman"/>
          <w:color w:val="212529"/>
          <w:sz w:val="20"/>
        </w:rPr>
        <w:t>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had cash of approximately $0.6 million. For the six months ended June 30, 2026, the Company used approximately $9.4 million in cash for operating activities. The Company has incurred recurring net losses from operations and negative cash flows from operating activities since inception. As of June 30, 2026, the Company had an accumulated deficit of approximately $114.2 million. These factors raise substantial doubt regarding the Company’s ability to continue as a going concern within one year of the date these financial statements were issued.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plans include obtaining future debt financings (see </w:t>
      </w:r>
      <w:r>
        <w:rPr>
          <w:rFonts w:ascii="Times New Roman" w:hAnsi="Times New Roman"/>
          <w:i/>
          <w:color w:val="000000"/>
          <w:sz w:val="20"/>
        </w:rPr>
        <w:t>Note 11 – Debt</w:t>
      </w:r>
      <w:r>
        <w:rPr>
          <w:rFonts w:ascii="Times New Roman" w:hAnsi="Times New Roman"/>
          <w:color w:val="000000"/>
          <w:sz w:val="20"/>
        </w:rPr>
        <w:t xml:space="preserve">) and equity financings associated with the Yorkville SEPA and the ATM (as defined in </w:t>
      </w:r>
      <w:r>
        <w:rPr>
          <w:rFonts w:ascii="Times New Roman" w:hAnsi="Times New Roman"/>
          <w:i/>
          <w:color w:val="000000"/>
          <w:sz w:val="20"/>
        </w:rPr>
        <w:t>Note 14 – Equity</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Summary of Significant Accounting Policies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June 30, 2026 are not necessarily indicative of the results that may be expected for the year ending December 31, 2026.</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and Allowance for Credit Losses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changes in the allowance for credit losses for the six months ended June 30, 2026:</w:t>
      </w:r>
    </w:p>
    <w:tbl>
      <w:tblPr>
        <w:tblW w:w="4181" w:type="dxa"/>
        <w:jc w:val="left"/>
        <w:tblInd w:w="0" w:type="dxa"/>
        <w:tblLayout w:type="fixed"/>
        <w:tblCellMar>
          <w:top w:w="28" w:type="dxa"/>
          <w:left w:w="28" w:type="dxa"/>
          <w:bottom w:w="28" w:type="dxa"/>
          <w:right w:w="28" w:type="dxa"/>
        </w:tblCellMar>
      </w:tblPr>
      <w:tblGrid>
        <w:gridCol w:w="3091"/>
        <w:gridCol w:w="146"/>
        <w:gridCol w:w="211"/>
        <w:gridCol w:w="146"/>
        <w:gridCol w:w="376"/>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jc w:val="both"/>
        <w:rPr>
          <w:rFonts w:ascii="Times New Roman" w:hAnsi="Times New Roman"/>
          <w:color w:val="000000"/>
          <w:sz w:val="20"/>
        </w:rPr>
      </w:pPr>
      <w:r>
        <w:rPr>
          <w:rFonts w:ascii="Times New Roman" w:hAnsi="Times New Roman"/>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Warrant Liability – related party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warrants originally issued in 7GC's initial public offering (the "Public Warrants") are recognized as derivative liabilities in accordance with FASB ASC 815, </w:t>
      </w:r>
      <w:r>
        <w:rPr>
          <w:rFonts w:ascii="Times New Roman" w:hAnsi="Times New Roman"/>
          <w:i/>
          <w:color w:val="000000"/>
          <w:sz w:val="20"/>
        </w:rPr>
        <w:t>Derivatives and Hedging</w:t>
      </w:r>
      <w:r>
        <w:rPr>
          <w:rFonts w:ascii="Times New Roman" w:hAnsi="Times New Roman"/>
          <w:color w:val="000000"/>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GEM Warrant Liability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GEM Warrants were not considered indexed to the issuer’s stock pursuant to ASC 815, as the holder’s ability to receive in lieu of the Warrant one percent of the total consideration received by the Company’s stockholders in connection with a Change of Control,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calculation of basic and diluted net loss per share attributable to common stock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07"/>
        <w:gridCol w:w="146"/>
        <w:gridCol w:w="289"/>
        <w:gridCol w:w="865"/>
        <w:gridCol w:w="227"/>
        <w:gridCol w:w="200"/>
        <w:gridCol w:w="289"/>
        <w:gridCol w:w="865"/>
        <w:gridCol w:w="166"/>
        <w:gridCol w:w="146"/>
        <w:gridCol w:w="257"/>
        <w:gridCol w:w="897"/>
        <w:gridCol w:w="202"/>
        <w:gridCol w:w="177"/>
        <w:gridCol w:w="257"/>
        <w:gridCol w:w="897"/>
        <w:gridCol w:w="218"/>
      </w:tblGrid>
      <w:tr>
        <w:trPr/>
        <w:tc>
          <w:tcPr>
            <w:tcW w:w="4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shares—basic and diluted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Securities that were excluded from loss per share as their effect would be anti-dilutive due to the net loss that could potentially be dilutive in future periods are as follows:</w:t>
      </w:r>
    </w:p>
    <w:p>
      <w:pPr>
        <w:pStyle w:val="TextBody"/>
        <w:bidi w:val="0"/>
        <w:jc w:val="both"/>
        <w:rPr/>
      </w:pPr>
      <w:r>
        <w:rPr/>
        <w:t> </w:t>
      </w:r>
    </w:p>
    <w:tbl>
      <w:tblPr>
        <w:tblW w:w="5019" w:type="dxa"/>
        <w:jc w:val="left"/>
        <w:tblInd w:w="0" w:type="dxa"/>
        <w:tblLayout w:type="fixed"/>
        <w:tblCellMar>
          <w:top w:w="28" w:type="dxa"/>
          <w:left w:w="28" w:type="dxa"/>
          <w:bottom w:w="28" w:type="dxa"/>
          <w:right w:w="28" w:type="dxa"/>
        </w:tblCellMar>
      </w:tblPr>
      <w:tblGrid>
        <w:gridCol w:w="2641"/>
        <w:gridCol w:w="146"/>
        <w:gridCol w:w="146"/>
        <w:gridCol w:w="781"/>
        <w:gridCol w:w="146"/>
        <w:gridCol w:w="146"/>
        <w:gridCol w:w="146"/>
        <w:gridCol w:w="676"/>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20"/>
              </w:rPr>
            </w:pPr>
            <w:r>
              <w:rPr>
                <w:rFonts w:cs="Times New Roman"/>
                <w:bCs/>
                <w:color w:val="000000"/>
                <w:szCs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Placement agent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830,532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42,265</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 w:hAnsi="Times New Roman"/>
          <w:i/>
          <w:color w:val="000000"/>
          <w:sz w:val="20"/>
        </w:rPr>
        <w:t>Note 7 – Fair Value Measurements</w:t>
      </w:r>
      <w:r>
        <w:rPr>
          <w:rFonts w:ascii="Times New Roman" w:hAnsi="Times New Roman"/>
          <w:color w:val="000000"/>
          <w:sz w:val="20"/>
        </w:rPr>
        <w:t xml:space="preserve"> and </w:t>
      </w:r>
      <w:r>
        <w:rPr>
          <w:rFonts w:ascii="Times New Roman" w:hAnsi="Times New Roman"/>
          <w:i/>
          <w:color w:val="000000"/>
          <w:sz w:val="20"/>
        </w:rPr>
        <w:t>Note 11 – Debt</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accordance with FASB ASC 820, </w:t>
      </w:r>
      <w:r>
        <w:rPr>
          <w:rFonts w:ascii="Times New Roman" w:hAnsi="Times New Roman"/>
          <w:i/>
          <w:color w:val="000000"/>
          <w:sz w:val="20"/>
        </w:rPr>
        <w:t>Fair Value Measurement</w:t>
      </w:r>
      <w:r>
        <w:rPr>
          <w:rFonts w:ascii="Times New Roman" w:hAnsi="Times New Roman"/>
          <w:color w:val="000000"/>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Inputs other than Level 1 prices for similar assets or liabilities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measurements discussed herein are based upon certain market assumptions and pertinent information available to management during the three months ended June 30, 2026 and 2025. The carrying amount of cash, accounts receivable, prepaid expenses and other current assets, accounts payable, accrued expenses, deferred revenue, and other current liabilities approximated their fair values as of June 30, 2026 and 2025.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Option Election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determined the January 2025 Yorkville Note, the September 2025 Yorkville Note, the Agile Notes, the 1800 Diagonal Notes, the </w:t>
      </w:r>
      <w:r>
        <w:rPr>
          <w:rFonts w:ascii="Times New Roman" w:hAnsi="Times New Roman"/>
          <w:color w:val="212529"/>
          <w:sz w:val="20"/>
        </w:rPr>
        <w:t>Private Placement Convertible Notes, and the Boot Capital Convertible Notes</w:t>
      </w:r>
      <w:r>
        <w:rPr>
          <w:rFonts w:ascii="Times New Roman" w:hAnsi="Times New Roman"/>
          <w:color w:val="000000"/>
          <w:sz w:val="20"/>
        </w:rPr>
        <w:t xml:space="preserve"> (each as defined in </w:t>
      </w:r>
      <w:r>
        <w:rPr>
          <w:rFonts w:ascii="Times New Roman" w:hAnsi="Times New Roman"/>
          <w:i/>
          <w:color w:val="000000"/>
          <w:sz w:val="20"/>
        </w:rPr>
        <w:t>Note 11 – Debt</w:t>
      </w:r>
      <w:r>
        <w:rPr>
          <w:rFonts w:ascii="Times New Roman" w:hAnsi="Times New Roman"/>
          <w:color w:val="000000"/>
          <w:sz w:val="20"/>
        </w:rPr>
        <w:t xml:space="preserve">, and together the "FVO Notes") were eligible for the fair value option, in accordance with FASB ASC 825-10-50-28, and made such election to account for these instruments at fair value. </w:t>
      </w:r>
    </w:p>
    <w:p>
      <w:pPr>
        <w:pStyle w:val="TextBody"/>
        <w:bidi w:val="0"/>
        <w:spacing w:before="200" w:after="283"/>
        <w:jc w:val="both"/>
        <w:rPr>
          <w:rFonts w:ascii="Times New Roman" w:hAnsi="Times New Roman"/>
          <w:sz w:val="20"/>
        </w:rPr>
      </w:pPr>
      <w:r>
        <w:rPr>
          <w:rFonts w:ascii="Times New Roman" w:hAnsi="Times New Roman"/>
          <w:color w:val="000000"/>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w:t>
      </w:r>
      <w:r>
        <w:rPr>
          <w:rFonts w:ascii="Times New Roman" w:hAnsi="Times New Roman"/>
          <w:color w:val="212529"/>
          <w:sz w:val="20"/>
        </w:rPr>
        <w:t xml:space="preserve"> Notes</w:t>
      </w:r>
      <w:r>
        <w:rPr>
          <w:rFonts w:ascii="Times New Roman" w:hAnsi="Times New Roman"/>
          <w:color w:val="000000"/>
          <w:sz w:val="20"/>
        </w:rPr>
        <w:t xml:space="preserve"> with the Company's financial reporting objectives and reduce operational effort to account for embedded features that otherwise would require bifurcation as a separate unit of account.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fair value option election, direct and incremental debt issuance costs and consideration paid to the respective lender were expensed as incurred and recorded in other income (expense), net in the unaudited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The Company records the portion of the FVO</w:t>
      </w:r>
      <w:r>
        <w:rPr>
          <w:rFonts w:ascii="Times New Roman" w:hAnsi="Times New Roman"/>
          <w:color w:val="212529"/>
          <w:sz w:val="20"/>
        </w:rPr>
        <w:t xml:space="preserve"> Notes</w:t>
      </w:r>
      <w:r>
        <w:rPr>
          <w:rFonts w:ascii="Times New Roman" w:hAnsi="Times New Roman"/>
          <w:color w:val="000000"/>
          <w:sz w:val="20"/>
        </w:rPr>
        <w:t xml:space="preserve">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w:t>
      </w:r>
      <w:r>
        <w:rPr>
          <w:rFonts w:ascii="Times New Roman" w:hAnsi="Times New Roman"/>
          <w:color w:val="212529"/>
          <w:sz w:val="20"/>
        </w:rPr>
        <w:t xml:space="preserve"> Notes</w:t>
      </w:r>
      <w:r>
        <w:rPr>
          <w:rFonts w:ascii="Times New Roman" w:hAnsi="Times New Roman"/>
          <w:color w:val="000000"/>
          <w:sz w:val="20"/>
        </w:rPr>
        <w:t>, which is recorded in other comprehensive income (loss), if applicable. Measurement of the change in fair value of the FVO</w:t>
      </w:r>
      <w:r>
        <w:rPr>
          <w:rFonts w:ascii="Times New Roman" w:hAnsi="Times New Roman"/>
          <w:color w:val="212529"/>
          <w:sz w:val="20"/>
        </w:rPr>
        <w:t xml:space="preserve"> Notes</w:t>
      </w:r>
      <w:r>
        <w:rPr>
          <w:rFonts w:ascii="Times New Roman" w:hAnsi="Times New Roman"/>
          <w:color w:val="000000"/>
          <w:sz w:val="20"/>
        </w:rPr>
        <w:t xml:space="preserve"> includes accrued interest, whether paid-in-kind or 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interest on the FVO Notes is included in the respective debt instrument's balance on the condensed consolidated balance sheets.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Accounting Standards Update (“ASU”) ASU No. 2024-03, </w:t>
      </w:r>
      <w:r>
        <w:rPr>
          <w:rFonts w:ascii="Times New Roman" w:hAnsi="Times New Roman"/>
          <w:i/>
          <w:color w:val="000000"/>
          <w:sz w:val="20"/>
        </w:rPr>
        <w:t>Disaggregation of Income Statement Expenses (Subtopic 220-40)</w:t>
      </w:r>
      <w:r>
        <w:rPr>
          <w:rFonts w:ascii="Times New Roman" w:hAnsi="Times New Roman"/>
          <w:color w:val="000000"/>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which provides a practical expedient to measure credit losses on accounts receivable and contract assets. This guidance is effective for periods beginning after December 15, 2025 and will be adopted prospectively. Early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adoption is permitted. The adoption of this guidance did not have a material impact on our condensed consolidated financial statements and related disclosures.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Acquisitions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Vidello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 in cash (the "Vidello Cash Consideration"), whereby $2.5 million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the holdback amount, this consists of three distinct components, being (1) the withholding of $1.0 million, as security for the obligations of Company Shareholders for a period of twelve months (the “Indemnification Holdback Amount”), (2) the withholding of $500 as security for the obligations of Company Shareholders to cooperate with best efforts and in good faith with to complete the transition, integration and related matters of Vidello's business with Parabolic, including, but not limited to (a) the transition of data of Vidello managed and/or held by Vidello to Parabolic, (b) certain services relating to the continued operations of Vidello, and (c) the training of certain employees of Parabolic regarding the operations of Vidello including any proprietary business processes and trade secrets following the Closing, during the six months following the Closing (the “Transition Holdback Period”), and (3) the withholding of $1.0 million subject to certain revenue related conditions being met during the 180 day period following the Closing (the “Revenue Holdback Amount” and together with the Indemnification Holdback Amount and the Transition Holdback Amount, the “Holdback Amount”).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recognized $486 of expense after foreign currency translation in the consolidated statements of operations related to the Transition Holdback Amount in the line Vidello earnout expense. During the three months ended September 30, 2025, the Company paid the contractual amount of $500 to the Vidello Shareholders for the Transition Holdback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September 30, 2025, the 180 day measurement period for the Revenue Holdback lapsed and the revenue conditions as defined in the Vidello Merger Agreement had not been met. As such the Company recognized a gain on the extinguishment of Vidello revenue holdback of $973 during the three months ended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2025, the Company incurred transaction costs of approximately $730 which are included in the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Vidello Merger was accounted for as a business combination under the acquisition method pursuant to FASB ASC 805, </w:t>
      </w:r>
      <w:r>
        <w:rPr>
          <w:rFonts w:ascii="Times New Roman" w:hAnsi="Times New Roman"/>
          <w:i/>
          <w:color w:val="000000"/>
          <w:sz w:val="20"/>
        </w:rPr>
        <w:t>Business Combinations</w:t>
      </w:r>
      <w:r>
        <w:rPr>
          <w:rFonts w:ascii="Times New Roman" w:hAnsi="Times New Roman"/>
          <w:color w:val="000000"/>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$6,268 summarized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5005" w:type="dxa"/>
        <w:jc w:val="left"/>
        <w:tblInd w:w="0" w:type="dxa"/>
        <w:tblLayout w:type="fixed"/>
        <w:tblCellMar>
          <w:top w:w="28" w:type="dxa"/>
          <w:left w:w="28" w:type="dxa"/>
          <w:bottom w:w="28" w:type="dxa"/>
          <w:right w:w="28" w:type="dxa"/>
        </w:tblCellMar>
      </w:tblPr>
      <w:tblGrid>
        <w:gridCol w:w="3886"/>
        <w:gridCol w:w="146"/>
        <w:gridCol w:w="211"/>
        <w:gridCol w:w="57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at closing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to Vidello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Holdback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allocated the purchase price of the Vidello Merger to the assets acquired and liabilities assumed as of the acquisition date, as follows:</w:t>
      </w:r>
    </w:p>
    <w:p>
      <w:pPr>
        <w:pStyle w:val="TextBody"/>
        <w:bidi w:val="0"/>
        <w:jc w:val="left"/>
        <w:rPr/>
      </w:pPr>
      <w:r>
        <w:rPr/>
        <w:t> </w:t>
      </w:r>
    </w:p>
    <w:tbl>
      <w:tblPr>
        <w:tblW w:w="4945" w:type="dxa"/>
        <w:jc w:val="left"/>
        <w:tblInd w:w="0" w:type="dxa"/>
        <w:tblLayout w:type="fixed"/>
        <w:tblCellMar>
          <w:top w:w="28" w:type="dxa"/>
          <w:left w:w="28" w:type="dxa"/>
          <w:bottom w:w="28" w:type="dxa"/>
          <w:right w:w="28" w:type="dxa"/>
        </w:tblCellMar>
      </w:tblPr>
      <w:tblGrid>
        <w:gridCol w:w="3826"/>
        <w:gridCol w:w="146"/>
        <w:gridCol w:w="211"/>
        <w:gridCol w:w="57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recorded: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recognized is not expected to be deductible for tax purposes. We believe that in this acquisition goodwill represents the value of Vidello's existing products, combined with the added business synergies of integrating with the existing Parabolic products and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intangible assets acquired are subject to amortization and their associated estimated useful lives are as follows:</w:t>
      </w:r>
    </w:p>
    <w:p>
      <w:pPr>
        <w:pStyle w:val="TextBody"/>
        <w:bidi w:val="0"/>
        <w:jc w:val="left"/>
        <w:rPr/>
      </w:pPr>
      <w:r>
        <w:rPr/>
        <w:t> </w:t>
      </w:r>
    </w:p>
    <w:tbl>
      <w:tblPr>
        <w:tblW w:w="3208" w:type="dxa"/>
        <w:jc w:val="left"/>
        <w:tblInd w:w="0" w:type="dxa"/>
        <w:tblLayout w:type="fixed"/>
        <w:tblCellMar>
          <w:top w:w="28" w:type="dxa"/>
          <w:left w:w="28" w:type="dxa"/>
          <w:bottom w:w="28" w:type="dxa"/>
          <w:right w:w="28" w:type="dxa"/>
        </w:tblCellMar>
      </w:tblPr>
      <w:tblGrid>
        <w:gridCol w:w="1996"/>
        <w:gridCol w:w="146"/>
        <w:gridCol w:w="106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years</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7 - 8 years</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in the unaudited condensed consolidated statements of operations for the three and six months ended June 30, 2025 includes net income of approximately $163 and $484, respectively, of Vidello from the date of acquisition to June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 forma disclosure for the Vidello acquisition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 forma financial information is not necessarily indicative of the results of operations as they would have been had the transactions been effected on the assumed date:</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5191"/>
        <w:gridCol w:w="291"/>
        <w:gridCol w:w="1016"/>
        <w:gridCol w:w="229"/>
        <w:gridCol w:w="201"/>
        <w:gridCol w:w="291"/>
        <w:gridCol w:w="1016"/>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 net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attributable to common stockholders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Debt Restructuring Agreement with CP BF</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September 5, 2024, the Company and CP BF agreed to amend the outstanding balance of all debt previously in the form of one term note and two convertible notes into one consolidated convertible note. The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consolidated convertible note. See </w:t>
      </w:r>
      <w:r>
        <w:rPr>
          <w:rFonts w:ascii="Times New Roman" w:hAnsi="Times New Roman"/>
          <w:i/>
          <w:color w:val="000000"/>
          <w:sz w:val="20"/>
        </w:rPr>
        <w:t>Note 11 – Debt</w:t>
      </w:r>
      <w:r>
        <w:rPr>
          <w:rFonts w:ascii="Times New Roman" w:hAnsi="Times New Roman"/>
          <w:color w:val="000000"/>
          <w:sz w:val="20"/>
        </w:rPr>
        <w:t>, for further details related to the transaction and associated balances.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is generated through the Company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we generally have net 30-day payment terms with the payment made directly through check or electronic means. Management believes its exposure to credit risk is sufficiently mitigated by collection through credit card sales or direct payment from established clients.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At contract inception, once the contract is determined to be within the scope of FASB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 </w:t>
      </w:r>
    </w:p>
    <w:p>
      <w:pPr>
        <w:pStyle w:val="TextBody"/>
        <w:bidi w:val="0"/>
        <w:spacing w:before="200" w:after="283"/>
        <w:jc w:val="both"/>
        <w:rPr/>
      </w:pPr>
      <w:r>
        <w:rPr/>
        <w:t> </w:t>
      </w:r>
    </w:p>
    <w:tbl>
      <w:tblPr>
        <w:tblW w:w="7228" w:type="dxa"/>
        <w:jc w:val="left"/>
        <w:tblInd w:w="0" w:type="dxa"/>
        <w:tblLayout w:type="fixed"/>
        <w:tblCellMar>
          <w:top w:w="28" w:type="dxa"/>
          <w:left w:w="28" w:type="dxa"/>
          <w:bottom w:w="28" w:type="dxa"/>
          <w:right w:w="28" w:type="dxa"/>
        </w:tblCellMar>
      </w:tblPr>
      <w:tblGrid>
        <w:gridCol w:w="271"/>
        <w:gridCol w:w="146"/>
        <w:gridCol w:w="681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identify contract(s) with a customer;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identify the performance obligation(s) in the contract;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determine the transaction price;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allocate the transaction price to the performance obligation(s) in the contract; and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recognize revenues when (or as) the Company satisfies a performance obligation.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recognizes revenue in an amount that reflects the consideration to which it expects to be entitled in exchange for the transfer of promised services to its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is recognized when a performance obligation is satisfied by transferring control of the service to the customer, which occurs over time. The Company considers this method a faithful depiction of the transfer of control as services are substantially the same and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have the same pattern of transfer over the life of the contract. Sales, value add, and other taxes collected on behalf of third parties are excluded from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Nature of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Demio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Reach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 Reach product is in the process of being phased out, the Company continues to generate revenues from the product. The Reach product provides a multi-channel targeted audience acquisition (via Reach) to bolster engagement and Return on Investment (ROI). Reach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OpenReel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Vidello</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Service Trade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one customer for which the customer is also a vendor. For this one customer, the Company exchanged services for approximately $62 and $177, during the six months ended June 30, 2026 and 2025,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revenue by region based on the billing address of customers for the periods presented:</w:t>
      </w:r>
    </w:p>
    <w:p>
      <w:pPr>
        <w:pStyle w:val="TextBody"/>
        <w:bidi w:val="0"/>
        <w:spacing w:before="0" w:after="2"/>
        <w:jc w:val="both"/>
        <w:rPr/>
      </w:pPr>
      <w:r>
        <w:rPr/>
        <w:t> </w:t>
      </w:r>
    </w:p>
    <w:tbl>
      <w:tblPr>
        <w:tblW w:w="10205" w:type="dxa"/>
        <w:jc w:val="left"/>
        <w:tblInd w:w="0" w:type="dxa"/>
        <w:tblLayout w:type="fixed"/>
        <w:tblCellMar>
          <w:top w:w="28" w:type="dxa"/>
          <w:left w:w="28" w:type="dxa"/>
          <w:bottom w:w="28" w:type="dxa"/>
          <w:right w:w="28" w:type="dxa"/>
        </w:tblCellMar>
      </w:tblPr>
      <w:tblGrid>
        <w:gridCol w:w="3217"/>
        <w:gridCol w:w="146"/>
        <w:gridCol w:w="211"/>
        <w:gridCol w:w="571"/>
        <w:gridCol w:w="146"/>
        <w:gridCol w:w="146"/>
        <w:gridCol w:w="482"/>
        <w:gridCol w:w="1397"/>
        <w:gridCol w:w="271"/>
        <w:gridCol w:w="146"/>
        <w:gridCol w:w="211"/>
        <w:gridCol w:w="571"/>
        <w:gridCol w:w="146"/>
        <w:gridCol w:w="146"/>
        <w:gridCol w:w="482"/>
        <w:gridCol w:w="1397"/>
        <w:gridCol w:w="519"/>
      </w:tblGrid>
      <w:tr>
        <w:trPr/>
        <w:tc>
          <w:tcPr>
            <w:tcW w:w="3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
        <w:jc w:val="both"/>
        <w:rPr/>
      </w:pPr>
      <w:r>
        <w:rPr/>
        <w:t> </w:t>
      </w:r>
    </w:p>
    <w:p>
      <w:pPr>
        <w:pStyle w:val="TextBody"/>
        <w:bidi w:val="0"/>
        <w:spacing w:before="0" w:after="2"/>
        <w:jc w:val="both"/>
        <w:rPr/>
      </w:pPr>
      <w:r>
        <w:rPr/>
        <w:t> </w:t>
      </w:r>
    </w:p>
    <w:tbl>
      <w:tblPr>
        <w:tblW w:w="10205" w:type="dxa"/>
        <w:jc w:val="left"/>
        <w:tblInd w:w="0" w:type="dxa"/>
        <w:tblLayout w:type="fixed"/>
        <w:tblCellMar>
          <w:top w:w="28" w:type="dxa"/>
          <w:left w:w="28" w:type="dxa"/>
          <w:bottom w:w="28" w:type="dxa"/>
          <w:right w:w="28" w:type="dxa"/>
        </w:tblCellMar>
      </w:tblPr>
      <w:tblGrid>
        <w:gridCol w:w="3217"/>
        <w:gridCol w:w="146"/>
        <w:gridCol w:w="211"/>
        <w:gridCol w:w="571"/>
        <w:gridCol w:w="146"/>
        <w:gridCol w:w="146"/>
        <w:gridCol w:w="482"/>
        <w:gridCol w:w="1397"/>
        <w:gridCol w:w="271"/>
        <w:gridCol w:w="146"/>
        <w:gridCol w:w="211"/>
        <w:gridCol w:w="571"/>
        <w:gridCol w:w="146"/>
        <w:gridCol w:w="146"/>
        <w:gridCol w:w="482"/>
        <w:gridCol w:w="1397"/>
        <w:gridCol w:w="519"/>
      </w:tblGrid>
      <w:tr>
        <w:trPr/>
        <w:tc>
          <w:tcPr>
            <w:tcW w:w="3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Accounts Receivable,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accounts receivable, net as of the dates presented:</w:t>
      </w:r>
    </w:p>
    <w:p>
      <w:pPr>
        <w:pStyle w:val="TextBody"/>
        <w:bidi w:val="0"/>
        <w:jc w:val="both"/>
        <w:rPr/>
      </w:pPr>
      <w:r>
        <w:rPr/>
        <w:t> </w:t>
      </w:r>
    </w:p>
    <w:tbl>
      <w:tblPr>
        <w:tblW w:w="3455" w:type="dxa"/>
        <w:jc w:val="left"/>
        <w:tblInd w:w="0" w:type="dxa"/>
        <w:tblLayout w:type="fixed"/>
        <w:tblCellMar>
          <w:top w:w="28" w:type="dxa"/>
          <w:left w:w="28" w:type="dxa"/>
          <w:bottom w:w="28" w:type="dxa"/>
          <w:right w:w="28" w:type="dxa"/>
        </w:tblCellMar>
      </w:tblPr>
      <w:tblGrid>
        <w:gridCol w:w="2551"/>
        <w:gridCol w:w="146"/>
        <w:gridCol w:w="146"/>
        <w:gridCol w:w="42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Costs to Obtain a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summarizes the activity related to costs to obtain a contract during the periods presented:</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tbl>
      <w:tblPr>
        <w:tblW w:w="4280" w:type="dxa"/>
        <w:jc w:val="left"/>
        <w:tblInd w:w="0" w:type="dxa"/>
        <w:tblLayout w:type="fixed"/>
        <w:tblCellMar>
          <w:top w:w="28" w:type="dxa"/>
          <w:left w:w="28" w:type="dxa"/>
          <w:bottom w:w="28" w:type="dxa"/>
          <w:right w:w="28" w:type="dxa"/>
        </w:tblCellMar>
      </w:tblPr>
      <w:tblGrid>
        <w:gridCol w:w="3051"/>
        <w:gridCol w:w="146"/>
        <w:gridCol w:w="211"/>
        <w:gridCol w:w="481"/>
        <w:gridCol w:w="391"/>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six months ended June 30, 2026 and the year ended December 31, 2025, the Company recognized $2,914 and $3,868 in revenue that was included in the prior year deferred revenue balance,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 in total deferred revenue was as follows for the periods indicated:</w:t>
      </w:r>
    </w:p>
    <w:p>
      <w:pPr>
        <w:pStyle w:val="TextBody"/>
        <w:bidi w:val="0"/>
        <w:jc w:val="left"/>
        <w:rPr/>
      </w:pPr>
      <w:r>
        <w:rPr/>
        <w:t> </w:t>
      </w:r>
    </w:p>
    <w:tbl>
      <w:tblPr>
        <w:tblW w:w="9600" w:type="dxa"/>
        <w:jc w:val="left"/>
        <w:tblInd w:w="0" w:type="dxa"/>
        <w:tblLayout w:type="fixed"/>
        <w:tblCellMar>
          <w:top w:w="28" w:type="dxa"/>
          <w:left w:w="28" w:type="dxa"/>
          <w:bottom w:w="28" w:type="dxa"/>
          <w:right w:w="28" w:type="dxa"/>
        </w:tblCellMar>
      </w:tblPr>
      <w:tblGrid>
        <w:gridCol w:w="5471"/>
        <w:gridCol w:w="146"/>
        <w:gridCol w:w="409"/>
        <w:gridCol w:w="1226"/>
        <w:gridCol w:w="166"/>
        <w:gridCol w:w="146"/>
        <w:gridCol w:w="432"/>
        <w:gridCol w:w="1293"/>
        <w:gridCol w:w="311"/>
      </w:tblGrid>
      <w:tr>
        <w:trPr/>
        <w:tc>
          <w:tcPr>
            <w:tcW w:w="5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(prior year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(current year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deferred revenue of Vidello (see Note 4 –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measurements discussed herein are based upon certain market assumptions and pertinent information available to management as of and during the periods ended June 30, 2026 and the year ended December 31, 2025. The carrying amount of accounts payable approximated fair value as they are short term in nature.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on a Recurring Basis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follows the guidance in FASB ASC 820, </w:t>
      </w:r>
      <w:r>
        <w:rPr>
          <w:rFonts w:ascii="Times New Roman" w:hAnsi="Times New Roman"/>
          <w:i/>
          <w:color w:val="000000"/>
          <w:sz w:val="20"/>
        </w:rPr>
        <w:t>Fair Value Measurement</w:t>
      </w:r>
      <w:r>
        <w:rPr>
          <w:rFonts w:ascii="Times New Roman" w:hAnsi="Times New Roman"/>
          <w:color w:val="000000"/>
          <w:sz w:val="20"/>
        </w:rPr>
        <w:t xml:space="preserve"> for its financial assets and liabilities that are re-measured and reported at fair value at each reporting period, and non-financial assets and liabilities that are re-measured and reported at fair value at least annually.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information about the Company’s financial instruments that are measured at fair value on a recurring basis at June 30, 2026 and December 31, 2025, and indicates the fair value hierarchy of the valuation inputs the Company utilized to determine such fair value: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8922" w:type="dxa"/>
        <w:jc w:val="left"/>
        <w:tblInd w:w="0" w:type="dxa"/>
        <w:tblLayout w:type="fixed"/>
        <w:tblCellMar>
          <w:top w:w="28" w:type="dxa"/>
          <w:left w:w="28" w:type="dxa"/>
          <w:bottom w:w="28" w:type="dxa"/>
          <w:right w:w="28" w:type="dxa"/>
        </w:tblCellMar>
      </w:tblPr>
      <w:tblGrid>
        <w:gridCol w:w="4851"/>
        <w:gridCol w:w="146"/>
        <w:gridCol w:w="586"/>
        <w:gridCol w:w="146"/>
        <w:gridCol w:w="1276"/>
        <w:gridCol w:w="146"/>
        <w:gridCol w:w="177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Definite-lived intangibles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8,027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 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GEM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Earnout liability (</w:t>
            </w:r>
            <w:r>
              <w:rPr>
                <w:rFonts w:ascii="Times New Roman" w:hAnsi="Times New Roman"/>
                <w:i/>
                <w:color w:val="000000"/>
                <w:sz w:val="20"/>
              </w:rPr>
              <w:t>Note 4</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991</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Yorkville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1,200</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1,728</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1800 Diagonal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747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1,856</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296</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Boot Capital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116</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TVT Capital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For assets and liabilities that are measured at fair value on the acquisition date, see </w:t>
      </w:r>
      <w:r>
        <w:rPr>
          <w:rFonts w:ascii="Times New Roman" w:hAnsi="Times New Roman"/>
          <w:i/>
          <w:color w:val="000000"/>
          <w:sz w:val="20"/>
        </w:rPr>
        <w:t>Note 4 – Acquisitions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Public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following table summarizes the changes in the fair value of the Public Warrants liability for the six months ended June 30, 2026. See also </w:t>
      </w:r>
      <w:r>
        <w:rPr>
          <w:rFonts w:ascii="Times New Roman" w:hAnsi="Times New Roman"/>
          <w:i/>
          <w:color w:val="000000"/>
          <w:sz w:val="20"/>
        </w:rPr>
        <w:t>Note 12 – Warrant Liabilities.</w:t>
      </w:r>
    </w:p>
    <w:p>
      <w:pPr>
        <w:pStyle w:val="TextBody"/>
        <w:bidi w:val="0"/>
        <w:jc w:val="both"/>
        <w:rPr/>
      </w:pPr>
      <w:r>
        <w:rPr/>
        <w:t> </w:t>
      </w:r>
    </w:p>
    <w:tbl>
      <w:tblPr>
        <w:tblW w:w="4448" w:type="dxa"/>
        <w:jc w:val="left"/>
        <w:tblInd w:w="0" w:type="dxa"/>
        <w:tblLayout w:type="fixed"/>
        <w:tblCellMar>
          <w:top w:w="28" w:type="dxa"/>
          <w:left w:w="28" w:type="dxa"/>
          <w:bottom w:w="28" w:type="dxa"/>
          <w:right w:w="28" w:type="dxa"/>
        </w:tblCellMar>
      </w:tblPr>
      <w:tblGrid>
        <w:gridCol w:w="2596"/>
        <w:gridCol w:w="146"/>
        <w:gridCol w:w="573"/>
        <w:gridCol w:w="942"/>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Public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GEM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hAnsi="Times New Roman"/>
          <w:i/>
          <w:color w:val="000000"/>
          <w:sz w:val="20"/>
        </w:rPr>
        <w:t>Note 12 – Warrant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GEM Warrants liability for the six months ended June 30, 2026:</w:t>
      </w:r>
    </w:p>
    <w:p>
      <w:pPr>
        <w:pStyle w:val="TextBody"/>
        <w:bidi w:val="0"/>
        <w:jc w:val="both"/>
        <w:rPr/>
      </w:pPr>
      <w:r>
        <w:rPr/>
        <w:t> </w:t>
      </w:r>
    </w:p>
    <w:tbl>
      <w:tblPr>
        <w:tblW w:w="4373" w:type="dxa"/>
        <w:jc w:val="left"/>
        <w:tblInd w:w="0" w:type="dxa"/>
        <w:tblLayout w:type="fixed"/>
        <w:tblCellMar>
          <w:top w:w="28" w:type="dxa"/>
          <w:left w:w="28" w:type="dxa"/>
          <w:bottom w:w="28" w:type="dxa"/>
          <w:right w:w="28" w:type="dxa"/>
        </w:tblCellMar>
      </w:tblPr>
      <w:tblGrid>
        <w:gridCol w:w="2596"/>
        <w:gridCol w:w="146"/>
        <w:gridCol w:w="544"/>
        <w:gridCol w:w="89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GEM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Yorkville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hAnsi="Times New Roman"/>
          <w:i/>
          <w:color w:val="000000"/>
          <w:sz w:val="20"/>
        </w:rPr>
        <w:t>Note 11 – Debt</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Yorkville convertible notes for the six months ended June 30, 2026:</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6913" w:type="dxa"/>
        <w:jc w:val="left"/>
        <w:tblInd w:w="0" w:type="dxa"/>
        <w:tblLayout w:type="fixed"/>
        <w:tblCellMar>
          <w:top w:w="28" w:type="dxa"/>
          <w:left w:w="28" w:type="dxa"/>
          <w:bottom w:w="28" w:type="dxa"/>
          <w:right w:w="28" w:type="dxa"/>
        </w:tblCellMar>
      </w:tblPr>
      <w:tblGrid>
        <w:gridCol w:w="4156"/>
        <w:gridCol w:w="146"/>
        <w:gridCol w:w="600"/>
        <w:gridCol w:w="1800"/>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Yorkville Convertible Note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in cash of Yorkville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Bifurcated Embedded Derivative Assets (Liabilities)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$12. The fair value of the Derivative was estimated utilizing the with and without method which uses the probability weighted difference between the scenarios with the Derivative and the plain vanilla maturity scenario without a Derivative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Derivative asset (liability) for the six months ended June 30, 2026, relating to the Convertible Note to CP BF issued on September 23, 2024:</w:t>
      </w:r>
    </w:p>
    <w:p>
      <w:pPr>
        <w:pStyle w:val="TextBody"/>
        <w:bidi w:val="0"/>
        <w:jc w:val="both"/>
        <w:rPr/>
      </w:pPr>
      <w:r>
        <w:rPr/>
        <w:t> </w:t>
      </w:r>
    </w:p>
    <w:tbl>
      <w:tblPr>
        <w:tblW w:w="9763" w:type="dxa"/>
        <w:jc w:val="left"/>
        <w:tblInd w:w="0" w:type="dxa"/>
        <w:tblLayout w:type="fixed"/>
        <w:tblCellMar>
          <w:top w:w="28" w:type="dxa"/>
          <w:left w:w="28" w:type="dxa"/>
          <w:bottom w:w="28" w:type="dxa"/>
          <w:right w:w="28" w:type="dxa"/>
        </w:tblCellMar>
      </w:tblPr>
      <w:tblGrid>
        <w:gridCol w:w="7006"/>
        <w:gridCol w:w="146"/>
        <w:gridCol w:w="861"/>
        <w:gridCol w:w="1539"/>
        <w:gridCol w:w="211"/>
      </w:tblGrid>
      <w:tr>
        <w:trPr/>
        <w:tc>
          <w:tcPr>
            <w:tcW w:w="7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Derivative Asset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2025 - Bifurcated embedded derivative asset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2026 - Bifurcated embedded derivative liability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Agile Term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hAnsi="Times New Roman"/>
          <w:i/>
          <w:color w:val="000000"/>
          <w:sz w:val="20"/>
        </w:rPr>
        <w:t>Financial Instruments</w:t>
      </w:r>
      <w:r>
        <w:rPr>
          <w:rFonts w:ascii="Times New Roman" w:hAnsi="Times New Roman"/>
          <w:color w:val="000000"/>
          <w:sz w:val="20"/>
        </w:rPr>
        <w:t xml:space="preserve"> (“ASC 825”).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Agile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1800 Diagonal 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1800 Diagonal Convertible Notes.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3i, LP Private Placement Offering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measurement of the fair value of the Private Placement Convertible Notes was determined using a Monte Carlo simulation. Key inputs into the simulation include the remaining term, the market interest rate, risk-free rate, equity volatility, and probability of default.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Private Placement Convertible Notes, and to </w:t>
      </w:r>
      <w:r>
        <w:rPr>
          <w:rFonts w:ascii="Times New Roman" w:hAnsi="Times New Roman"/>
          <w:i/>
          <w:color w:val="000000"/>
          <w:sz w:val="20"/>
        </w:rPr>
        <w:t>Note 12 – Warrant Liabilities</w:t>
      </w:r>
      <w:r>
        <w:rPr>
          <w:rFonts w:ascii="Times New Roman" w:hAnsi="Times New Roman"/>
          <w:color w:val="000000"/>
          <w:sz w:val="20"/>
        </w:rPr>
        <w:t xml:space="preserve"> for a description of the warrants issued in connection with the Private Placement Offering.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Private Placement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hAnsi="Times New Roman"/>
          <w:i/>
          <w:color w:val="000000"/>
          <w:sz w:val="20"/>
        </w:rPr>
        <w:t>Note 12 – Warrant Liabilities</w:t>
      </w:r>
      <w:r>
        <w:rPr>
          <w:rFonts w:ascii="Times New Roman" w:hAnsi="Times New Roman"/>
          <w:color w:val="000000"/>
          <w:sz w:val="20"/>
        </w:rPr>
        <w:t xml:space="preserve"> for further details.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measurement of fair value was determined utilizing a Monte Carlo simulation considering all relevant assumptions current at the date of issuance, including share price, term, risk-free rate, exercise price and dividend yield.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summarize the ranges of inputs to and the changes in the fair value of the Private Placement Warrant liability for the six months ended June 30, 2026:</w:t>
      </w:r>
    </w:p>
    <w:p>
      <w:pPr>
        <w:pStyle w:val="TextBody"/>
        <w:bidi w:val="0"/>
        <w:jc w:val="both"/>
        <w:rPr/>
      </w:pPr>
      <w:r>
        <w:rPr/>
        <w:t> </w:t>
      </w:r>
    </w:p>
    <w:tbl>
      <w:tblPr>
        <w:tblW w:w="4048" w:type="dxa"/>
        <w:jc w:val="left"/>
        <w:tblInd w:w="0" w:type="dxa"/>
        <w:tblLayout w:type="fixed"/>
        <w:tblCellMar>
          <w:top w:w="28" w:type="dxa"/>
          <w:left w:w="28" w:type="dxa"/>
          <w:bottom w:w="28" w:type="dxa"/>
          <w:right w:w="28" w:type="dxa"/>
        </w:tblCellMar>
      </w:tblPr>
      <w:tblGrid>
        <w:gridCol w:w="2071"/>
        <w:gridCol w:w="146"/>
        <w:gridCol w:w="471"/>
        <w:gridCol w:w="1044"/>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2.00 - 4.62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 - 4.14%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 - 134.4%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5963" w:type="dxa"/>
        <w:jc w:val="left"/>
        <w:tblInd w:w="0" w:type="dxa"/>
        <w:tblLayout w:type="fixed"/>
        <w:tblCellMar>
          <w:top w:w="28" w:type="dxa"/>
          <w:left w:w="28" w:type="dxa"/>
          <w:bottom w:w="28" w:type="dxa"/>
          <w:right w:w="28" w:type="dxa"/>
        </w:tblCellMar>
      </w:tblPr>
      <w:tblGrid>
        <w:gridCol w:w="3091"/>
        <w:gridCol w:w="146"/>
        <w:gridCol w:w="683"/>
        <w:gridCol w:w="185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Private Placement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 February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Prepaid Expenses and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consisted of the following at the dates indicated:</w:t>
      </w:r>
    </w:p>
    <w:p>
      <w:pPr>
        <w:pStyle w:val="TextBody"/>
        <w:bidi w:val="0"/>
        <w:jc w:val="both"/>
        <w:rPr/>
      </w:pPr>
      <w:r>
        <w:rPr/>
        <w:t> </w:t>
      </w:r>
    </w:p>
    <w:tbl>
      <w:tblPr>
        <w:tblW w:w="7660" w:type="dxa"/>
        <w:jc w:val="left"/>
        <w:tblInd w:w="0" w:type="dxa"/>
        <w:tblLayout w:type="fixed"/>
        <w:tblCellMar>
          <w:top w:w="28" w:type="dxa"/>
          <w:left w:w="28" w:type="dxa"/>
          <w:bottom w:w="28" w:type="dxa"/>
          <w:right w:w="28" w:type="dxa"/>
        </w:tblCellMar>
      </w:tblPr>
      <w:tblGrid>
        <w:gridCol w:w="3931"/>
        <w:gridCol w:w="146"/>
        <w:gridCol w:w="426"/>
        <w:gridCol w:w="849"/>
        <w:gridCol w:w="146"/>
        <w:gridCol w:w="146"/>
        <w:gridCol w:w="574"/>
        <w:gridCol w:w="1151"/>
        <w:gridCol w:w="2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insurance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merchant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Goodwill and Intangible Assets,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summary of goodwill by reportable segment as of and for the six months ended June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8748" w:type="dxa"/>
        <w:jc w:val="left"/>
        <w:tblInd w:w="0" w:type="dxa"/>
        <w:tblLayout w:type="fixed"/>
        <w:tblCellMar>
          <w:top w:w="28" w:type="dxa"/>
          <w:left w:w="28" w:type="dxa"/>
          <w:bottom w:w="28" w:type="dxa"/>
          <w:right w:w="28" w:type="dxa"/>
        </w:tblCellMar>
      </w:tblPr>
      <w:tblGrid>
        <w:gridCol w:w="2656"/>
        <w:gridCol w:w="146"/>
        <w:gridCol w:w="525"/>
        <w:gridCol w:w="1425"/>
        <w:gridCol w:w="146"/>
        <w:gridCol w:w="146"/>
        <w:gridCol w:w="211"/>
        <w:gridCol w:w="571"/>
        <w:gridCol w:w="146"/>
        <w:gridCol w:w="146"/>
        <w:gridCol w:w="221"/>
        <w:gridCol w:w="710"/>
        <w:gridCol w:w="146"/>
        <w:gridCol w:w="146"/>
        <w:gridCol w:w="289"/>
        <w:gridCol w:w="927"/>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 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jc w:val="both"/>
        <w:rPr>
          <w:rFonts w:ascii="Times New Roman" w:hAnsi="Times New Roman"/>
          <w:color w:val="212529"/>
          <w:sz w:val="20"/>
        </w:rPr>
      </w:pPr>
      <w:r>
        <w:rPr>
          <w:rFonts w:ascii="Times New Roman" w:hAnsi="Times New Roman"/>
          <w:color w:val="212529"/>
          <w:sz w:val="20"/>
        </w:rPr>
        <w:t>Intangible assets subject to amortization consist of the following:</w:t>
      </w:r>
    </w:p>
    <w:p>
      <w:pPr>
        <w:pStyle w:val="TextBody"/>
        <w:bidi w:val="0"/>
        <w:jc w:val="left"/>
        <w:rPr/>
      </w:pPr>
      <w:r>
        <w:rPr/>
        <w:t> </w:t>
      </w:r>
    </w:p>
    <w:tbl>
      <w:tblPr>
        <w:tblW w:w="6989" w:type="dxa"/>
        <w:jc w:val="left"/>
        <w:tblInd w:w="0" w:type="dxa"/>
        <w:tblLayout w:type="fixed"/>
        <w:tblCellMar>
          <w:top w:w="28" w:type="dxa"/>
          <w:left w:w="28" w:type="dxa"/>
          <w:bottom w:w="28" w:type="dxa"/>
          <w:right w:w="28" w:type="dxa"/>
        </w:tblCellMar>
      </w:tblPr>
      <w:tblGrid>
        <w:gridCol w:w="2746"/>
        <w:gridCol w:w="146"/>
        <w:gridCol w:w="2611"/>
        <w:gridCol w:w="319"/>
        <w:gridCol w:w="956"/>
        <w:gridCol w:w="2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Life (years):</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10 - 15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6 - 8</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Total amortization expense related to intangible assets was $607 for the six months ended June 30, 2026. Expected amortization expense is as follows:</w:t>
      </w:r>
    </w:p>
    <w:p>
      <w:pPr>
        <w:pStyle w:val="TextBody"/>
        <w:bidi w:val="0"/>
        <w:jc w:val="left"/>
        <w:rPr/>
      </w:pPr>
      <w:r>
        <w:rPr/>
        <w:t> </w:t>
      </w:r>
    </w:p>
    <w:tbl>
      <w:tblPr>
        <w:tblW w:w="2946" w:type="dxa"/>
        <w:jc w:val="left"/>
        <w:tblInd w:w="0" w:type="dxa"/>
        <w:tblLayout w:type="fixed"/>
        <w:tblCellMar>
          <w:top w:w="28" w:type="dxa"/>
          <w:left w:w="28" w:type="dxa"/>
          <w:bottom w:w="28" w:type="dxa"/>
          <w:right w:w="28" w:type="dxa"/>
        </w:tblCellMar>
      </w:tblPr>
      <w:tblGrid>
        <w:gridCol w:w="1681"/>
        <w:gridCol w:w="146"/>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Accrued and Other Current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at the dates indicated:</w:t>
      </w:r>
    </w:p>
    <w:p>
      <w:pPr>
        <w:pStyle w:val="TextBody"/>
        <w:bidi w:val="0"/>
        <w:jc w:val="both"/>
        <w:rPr/>
      </w:pPr>
      <w:r>
        <w:rPr/>
        <w:t> </w:t>
      </w:r>
    </w:p>
    <w:tbl>
      <w:tblPr>
        <w:tblW w:w="8105" w:type="dxa"/>
        <w:jc w:val="left"/>
        <w:tblInd w:w="0" w:type="dxa"/>
        <w:tblLayout w:type="fixed"/>
        <w:tblCellMar>
          <w:top w:w="28" w:type="dxa"/>
          <w:left w:w="28" w:type="dxa"/>
          <w:bottom w:w="28" w:type="dxa"/>
          <w:right w:w="28" w:type="dxa"/>
        </w:tblCellMar>
      </w:tblPr>
      <w:tblGrid>
        <w:gridCol w:w="4376"/>
        <w:gridCol w:w="146"/>
        <w:gridCol w:w="344"/>
        <w:gridCol w:w="931"/>
        <w:gridCol w:w="146"/>
        <w:gridCol w:w="146"/>
        <w:gridCol w:w="465"/>
        <w:gridCol w:w="1260"/>
        <w:gridCol w:w="291"/>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accounting and professional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Excise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benefit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subscription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streaming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Debt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Promissory Note - GEM</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14, 2023, the Company and GEM Global Yield LLC SCS and GEM Yield Bahamas Limited (collectively, “GEM”) agreed to terminate in its entirety the GEM Agreement, pursuant to which GEM was to purchase from the Company shares of common stock having an aggregate value up to $100 million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5, 2024, the Company and GEM entered into a settlement agreement (the “GEM Settlement Agreement”), pursuant to which (a) the Company and GEM agreed to (i) settle the Company’s obligations under and terminate the binding term sheet entered into between Legacy Parabolic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 beginning on March 1, 2024, with the final payment to be made on December 1, 2024 (the “GEM Promissory Note”). The Company paid GEM the $1.2 million in cash in February 2024.</w:t>
      </w:r>
    </w:p>
    <w:p>
      <w:pPr>
        <w:pStyle w:val="TextBody"/>
        <w:bidi w:val="0"/>
        <w:jc w:val="both"/>
        <w:rPr>
          <w:rFonts w:ascii="Times New Roman" w:hAnsi="Times New Roman"/>
          <w:color w:val="000000"/>
          <w:sz w:val="20"/>
        </w:rPr>
      </w:pPr>
      <w:r>
        <w:rPr>
          <w:rFonts w:ascii="Times New Roman" w:hAnsi="Times New Roman"/>
          <w:color w:val="000000"/>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issued an aggregate of 950 shares of Class A Common Stock to GEM in lieu of monthly payment obligations and during the three months ended March 31, 2025 the Company paid an aggregate of $215 to satisfy the remaining balance of the GEM Promissory Note.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Yorkville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hAnsi="Times New Roman"/>
          <w:i/>
          <w:color w:val="000000"/>
          <w:sz w:val="20"/>
        </w:rPr>
        <w:t>Note 14 – Equity</w:t>
      </w:r>
      <w:r>
        <w:rPr>
          <w:rFonts w:ascii="Times New Roman" w:hAnsi="Times New Roman"/>
          <w:color w:val="000000"/>
          <w:sz w:val="20"/>
        </w:rPr>
        <w:t xml:space="preserve"> for further details on the SEPA), Yorkville agreed to advance to the Company, in exchange for convertible promissory notes, an aggregate principal amount of up to $3.5 million, $2.0 million of which was funded at the Closing in exchange for the issuance by the Company of a Convertible Promissory Note (the “December Yorkville Convertible Note”). The Company received net proceeds of $1.8 million after a non-cash original issue discount of $200.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5, 2024, the Company and Yorkville entered into a supplemental agreement (the “SEPA Supplemental Agreement”) to increase the amount of convertible promissory notes allowed to be issued under SEPA by $1.0 million (the “Additional Pre-Paid Advance Amount”), for an aggregate principal amount of $4.5 million to be advanced by Yorkville to the Company in the form of convertible promissory notes. On February 5, 2024 in exchange for a promissory note in the principal amount of $1.0 million (the “February Yorkville Promissory Note”), with the same terms as the December Yorkville Convertible Note, the Company received net proceeds of $900 after an original issue discount of $100.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26, 2024, the Company, in exchange for a convertible promissory note with a principal amount of $1.5 million (the "March Yorkville Promissory Note" and, together with the December Yorkville Convertible Note and February Yorkville Promissory Note, the "Yorkville Promissory Notes"), received net proceeds of $1,250 after an original issue discount of $250.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and Yorkville also agreed to extend the maturity date of the Yorkville Promissory Notes to the date that is 120 days after the closing of the offering and to satisfy the $200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Amended Repayment Agreement, the Company made a cash principal payment of $750 on May 31, 2024 (the “Repayment Date”), and issued an Advance Notice for the purchase of 60 shares of Class A Common Stock (the “Premium Advance Shares”) (representing the number of shares the Company reasonably believed would be sufficient to result in net proceeds of $75 as of the Repayment Date) (the “Premium Advance”). The total purchase price for the Premium Advance was $110, of which $75 was applied in satisfaction of the Payment Premium, and the remaining $35 was paid by Yorkville to the Company in cash (the “Cash Surplus”). The Premium Advance Shares were recorded at fair value totaling $116 on the Repayment Date, and the excess of fair value over the Cash Surplus was recorded to the consolidated statement of operations in line Yorkville prepayment premium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per share, and the maturity date for the Outstanding Promissory Notes is extended by 120 days to January 17,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Yorkville Promissory Notes have a maturity date (as modified by the Floor Price Reduction Agreement) of January 17, 2025, and accrue interest at 0% per annum, subject to an increase to 18% per annum upon events of default as defined in the agreement. As of June 30, 2026, no events of default have occurred. </w:t>
      </w:r>
    </w:p>
    <w:p>
      <w:pPr>
        <w:pStyle w:val="TextBody"/>
        <w:bidi w:val="0"/>
        <w:jc w:val="both"/>
        <w:rPr>
          <w:rFonts w:ascii="Times New Roman" w:hAnsi="Times New Roman"/>
          <w:sz w:val="20"/>
        </w:rPr>
      </w:pPr>
      <w:r>
        <w:rPr>
          <w:rFonts w:ascii="Times New Roman" w:hAnsi="Times New Roman"/>
          <w:color w:val="000000"/>
          <w:sz w:val="20"/>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hAnsi="Times New Roman"/>
          <w:i/>
          <w:color w:val="000000"/>
          <w:sz w:val="20"/>
        </w:rPr>
        <w:t>Note 14 – Equity</w:t>
      </w:r>
      <w:r>
        <w:rPr>
          <w:rFonts w:ascii="Times New Roman" w:hAnsi="Times New Roman"/>
          <w:color w:val="000000"/>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 million, plus (y) 10% in respect of such amount, and (z) all outstanding accrued and unpaid interest as of each payment date.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 xml:space="preserve">During January 2024, the Company’s stock price fell below the then in effect Floor Price (as defined in the Standby Equity Purchase Agreement disclosure in </w:t>
      </w:r>
      <w:r>
        <w:rPr>
          <w:rFonts w:ascii="Times New Roman" w:hAnsi="Times New Roman"/>
          <w:i/>
          <w:color w:val="000000"/>
          <w:sz w:val="20"/>
        </w:rPr>
        <w:t>Note 14 – Equity</w:t>
      </w:r>
      <w:r>
        <w:rPr>
          <w:rFonts w:ascii="Times New Roman" w:hAnsi="Times New Roman"/>
          <w:color w:val="000000"/>
          <w:sz w:val="20"/>
        </w:rPr>
        <w:t>) of $400.00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2024, $2.0 million of the full outstanding principal under the December Yorkville Convertible Note, respectively, was converted into 1,377 shares of Class A Common stock of the Company. During the year ended December 31, 2024, the full principal amount of $1.0 million under the February Yorkville Promissory Note was converted into 245 Class A Common stock of the Company. During the year ended December 31, 2024, the full outstanding principal amount of $750 under the March Yorkville Promissory Note was converted into 750 shares of Class A Common Stock.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30, 2025 (the “Issuance Date”), in connection with and pursuant to the terms of the SEPA (refer to </w:t>
      </w:r>
      <w:r>
        <w:rPr>
          <w:rFonts w:ascii="Times New Roman" w:hAnsi="Times New Roman"/>
          <w:i/>
          <w:color w:val="000000"/>
          <w:sz w:val="20"/>
        </w:rPr>
        <w:t>Note 14 – Equity</w:t>
      </w:r>
      <w:r>
        <w:rPr>
          <w:rFonts w:ascii="Times New Roman" w:hAnsi="Times New Roman"/>
          <w:color w:val="000000"/>
          <w:sz w:val="20"/>
        </w:rPr>
        <w:t xml:space="preserve"> for further details), Yorkville agreed to advance to the Company, in exchange for a Convertible Promissory Note (the “January 2025 Yorkville Note”), a total principal amount of $3.5 million. The Company received net proceeds of $3,140 after an original issue discount of $350, and $10 in debt issuance costs paid to Yorkville. </w:t>
      </w:r>
    </w:p>
    <w:p>
      <w:pPr>
        <w:pStyle w:val="TextBody"/>
        <w:bidi w:val="0"/>
        <w:jc w:val="both"/>
        <w:rPr>
          <w:rFonts w:ascii="Times New Roman" w:hAnsi="Times New Roman"/>
          <w:sz w:val="20"/>
        </w:rPr>
      </w:pPr>
      <w:r>
        <w:rPr>
          <w:rFonts w:ascii="Times New Roman" w:hAnsi="Times New Roman"/>
          <w:color w:val="000000"/>
          <w:sz w:val="20"/>
        </w:rPr>
        <w:t>The January 2025 Yorkville Note had a maturity date of July 31, 2025, but may be extended at the option of the Company. Beginning on the 30</w:t>
      </w:r>
      <w:r>
        <w:rPr>
          <w:rFonts w:ascii="Times New Roman" w:hAnsi="Times New Roman"/>
          <w:color w:val="000000"/>
          <w:sz w:val="11"/>
        </w:rPr>
        <w:t>th</w:t>
      </w:r>
      <w:r>
        <w:rPr>
          <w:rFonts w:ascii="Times New Roman" w:hAnsi="Times New Roman"/>
          <w:color w:val="000000"/>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 million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 of which approximately $3,500 was applied against outstanding principal, and approximately $140 was paid to Yorkville as Payment Premiums and expensed as incurred. As of June 30, 2025, the January 2025 Yorkville Note was fully repaid.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16, 2025, the Company entered into a Convertible Promissory Note (the “September 2025 Yorkville Note”) with Yorkville in principal amount of $2.0 million (the “Original Principal Amount”) to the Company, to be used as an advance under the SEPA. The Company received $890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 million, less 10% discount of the Original Principal Amount, netted from the purchase price due and structured as a purchase discount (“Advance #2”).</w:t>
      </w:r>
    </w:p>
    <w:p>
      <w:pPr>
        <w:pStyle w:val="TextBody"/>
        <w:bidi w:val="0"/>
        <w:jc w:val="both"/>
        <w:rPr>
          <w:rFonts w:ascii="Times New Roman" w:hAnsi="Times New Roman"/>
          <w:sz w:val="20"/>
        </w:rPr>
      </w:pPr>
      <w:r>
        <w:rPr>
          <w:rFonts w:ascii="Times New Roman" w:hAnsi="Times New Roman"/>
          <w:color w:val="000000"/>
          <w:sz w:val="20"/>
        </w:rPr>
        <w:t>The September 2025 Yorkville Note was issued on September 16, 2025 and the maturity date of the September 2025 Yorkville Note is March 16, 2026, but may be extended at the option of the Company. Beginning on the 30</w:t>
      </w:r>
      <w:r>
        <w:rPr>
          <w:rFonts w:ascii="Times New Roman" w:hAnsi="Times New Roman"/>
          <w:color w:val="000000"/>
          <w:sz w:val="13"/>
        </w:rPr>
        <w:t>th</w:t>
      </w:r>
      <w:r>
        <w:rPr>
          <w:rFonts w:ascii="Times New Roman" w:hAnsi="Times New Roman"/>
          <w:color w:val="000000"/>
          <w:sz w:val="20"/>
        </w:rPr>
        <w:t xml:space="preserve"> day from the date of issuance, and continuing on the same day of each successive calendar month thereafter, (each, an “Installment Date”), the Company shall repay a portion of the outstanding balance of the Note in an amount equal to the sum of (i) $500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w:t>
      </w:r>
    </w:p>
    <w:p>
      <w:pPr>
        <w:pStyle w:val="TextBody"/>
        <w:bidi w:val="0"/>
        <w:jc w:val="both"/>
        <w:rPr>
          <w:rFonts w:ascii="Times New Roman" w:hAnsi="Times New Roman"/>
          <w:color w:val="000000"/>
          <w:sz w:val="20"/>
        </w:rPr>
      </w:pPr>
      <w:r>
        <w:rPr>
          <w:rFonts w:ascii="Times New Roman" w:hAnsi="Times New Roman"/>
          <w:color w:val="000000"/>
          <w:sz w:val="20"/>
        </w:rPr>
        <w:t>On October 6, 2025, the Company issued an Advance Notice to Yorkville pursuant to the SEPA in which the Company requested the purchase of 5,750 shares of the Company's Class A Common Stock at a purchase price of $61.60 for a total purchase price of $354 to be applied against the outstanding Yorkville Convertible Notes. Upon settlement on October 8, 2025, the Company issued 5,750 shares of Class A Common Stock to Yorkville.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13, 2025, the Company issued an Advance Notice to Yorkville pursuant to the SEPA in which the Company requested the purchase of 3,250 shares of the Company's Class A Common Stock at a purchase price of $59.00 for a total purchase price of $191 to be applied against the outstanding Yorkville Convertible Notes. Upon settlement on October 15, 2025, the Company issued 3,250 shares of Class A Common Stock to Yorkville.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April 24, 2026 and May 6, 2026, the Company issued Advance Notices to Yorkville pursuant to the SEPA in which the Company requested the purchase of approximately 155,000 shares of the Company's Class A Common Stock at an aggregate gross value of approximately $896, and net proceeds of approximately $368 were applied against the outstanding Yorkville Convertible Notes.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Term and Convertible notes - related party (CP BF)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conversion price, which was $50.00 per unit at June 30, 2026. If not sooner converted or prepaid, the Convertible Note principal together with accrued and unpaid interest thereon, unpaid fees and expenses and any other Obligations then due, shall be paid on the Loan Maturity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10, 2022 the Loan Agreement was amended, where CP BF waived payment by the Company of four months of cash interest with respect to the Term Note in replacement for a Convertible Note (“First Amendment Convertible Note”) in the principal amount of $321, which is not considered an Additional Loan as defined above. The First Amendment Convertible Note has the same features as the Convertible Note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effective interest rate for the Term Note was 16% and interest expense totaled $851 for the year ended December 31, 2024, comprised of $773 of contractual interest and $79 of amortization of the discount. The effective interest rate for the CP BF Convertible Note and First Amendment Convertible Note was 16% for the year ended December 31, 2024. For the year ended December 31, 2024, interest expense on the Convertible Notes totaled $350 comprised of $326 of contractual interest and $25 for the amortization of the discount.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Convertible notes - related party (CP BF restructuring)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hAnsi="Times New Roman"/>
          <w:i/>
          <w:color w:val="000000"/>
          <w:sz w:val="20"/>
        </w:rPr>
        <w:t>Debt</w:t>
      </w:r>
      <w:r>
        <w:rPr>
          <w:rFonts w:ascii="Times New Roman" w:hAnsi="Times New Roman"/>
          <w:color w:val="000000"/>
          <w:sz w:val="20"/>
        </w:rPr>
        <w:t>, the Company treated the Old CP BF Notes as extinguished and recognized a loss on debt extinguishment of $6.5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conjunction with the side letter, the Company agreed to issue to CP BF, 350 shares of the Company's Class A Common Stock. On September 23, 2024 the transaction was finalized and the Company issued the 2024 CP BF Convertible Note with a principal amount of $10.8 million.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2024 CP BF Convertible Note has an embedded redemption put feature upon a Prepayment and Default Interest triggering events. For further discussion of this derivative see </w:t>
      </w:r>
      <w:r>
        <w:rPr>
          <w:rFonts w:ascii="Times New Roman" w:hAnsi="Times New Roman"/>
          <w:i/>
          <w:color w:val="000000"/>
          <w:sz w:val="20"/>
        </w:rPr>
        <w:t>Note 7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October 2024, CP BF exercised its optional conversion option in which it received 278 Class A Common Stock at the fixed conversion price per share of $778.00 in satisfaction of $216 of the Company's obligations under the 2024 CP BF Convertible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 million in debt into 1,305 shares of Class A Common Stock, CP BF Warrants to purchase up to 2,843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 million. For the year ended December 31, 2025, the Company paid a total of $2,840 which satisfied outstanding principal under the 2024 CP BF Convertible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effective interest rate for the 2024 CP BF Convertible Note was approximately 15.4% as of June 30, 2026. Interest expense on the 2024 CP BF Convertible Note totaled $194 and $396 for the three and six months ended June 30, 2026,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2024 CP BF Convertible Note as of June 30, 2026 and December 31, 2025: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7540" w:type="dxa"/>
        <w:jc w:val="left"/>
        <w:tblInd w:w="0" w:type="dxa"/>
        <w:tblLayout w:type="fixed"/>
        <w:tblCellMar>
          <w:top w:w="28" w:type="dxa"/>
          <w:left w:w="28" w:type="dxa"/>
          <w:bottom w:w="28" w:type="dxa"/>
          <w:right w:w="28" w:type="dxa"/>
        </w:tblCellMar>
      </w:tblPr>
      <w:tblGrid>
        <w:gridCol w:w="4246"/>
        <w:gridCol w:w="146"/>
        <w:gridCol w:w="282"/>
        <w:gridCol w:w="843"/>
        <w:gridCol w:w="166"/>
        <w:gridCol w:w="146"/>
        <w:gridCol w:w="376"/>
        <w:gridCol w:w="1124"/>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Face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premium,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made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CP BF convertible notes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CP BF Letter Agreement - October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 million against the Balance until the earlier of (a) 60 days following the date of the CP BF Letter Agreement and (b) receipt of $10.0 million in gross proceeds from the sale of Company securities, the Company will no longer be required to prepay a certain percentage of other proceeds received from securities offerings to CP BF, as stipulated in the Loan Agreement.</w:t>
      </w:r>
    </w:p>
    <w:p>
      <w:pPr>
        <w:pStyle w:val="TextBody"/>
        <w:bidi w:val="0"/>
        <w:jc w:val="both"/>
        <w:rPr>
          <w:rFonts w:ascii="Times New Roman" w:hAnsi="Times New Roman"/>
          <w:color w:val="000000"/>
          <w:sz w:val="20"/>
        </w:rPr>
      </w:pPr>
      <w:r>
        <w:rPr>
          <w:rFonts w:ascii="Times New Roman" w:hAnsi="Times New Roman"/>
          <w:color w:val="000000"/>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jc w:val="both"/>
        <w:rPr>
          <w:rFonts w:ascii="Times New Roman" w:hAnsi="Times New Roman"/>
          <w:color w:val="000000"/>
          <w:sz w:val="20"/>
        </w:rPr>
      </w:pPr>
      <w:r>
        <w:rPr>
          <w:rFonts w:ascii="Times New Roman" w:hAnsi="Times New Roman"/>
          <w:color w:val="000000"/>
          <w:sz w:val="20"/>
        </w:rPr>
        <w:t>The Company's failure to comply with the Letter Agreement shall constitute an Event of Default under the Loan Agreement.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2025 CP BF Conversions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October 17, 2025 and December 31, 2025, CP BF exercised its optional conversion option multiple times and received an aggregate of 3,135 shares of Class A Common Stock at conversion prices per share ranging from $54.20 to $55.00 in satisfaction of $165 of the Company's obligations under the 2024 CP BF Convertible Note.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CP BF Letter Agreement - May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Notes payable, carried at fair value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Agile Term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$788 and received net proceeds of $750, after administrative agent fees of $38 paid to Agile Funding, with a maturity date of February 5, 2025. The July Agile Note bears interest at a rate of 42%.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$263 and received net proceeds of $250, after administrative agent fees of $13 paid to Agile Funding, with a maturity date of March 3, 2025. The September Agile Note bears interest at a rate of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12, 2024, the Company issued a subordinated secured promissory note (the “December Agile Note”) for an aggregate principal amount of $2,400 and received net proceeds of $1,782, after administrative agent fees of $120 paid to Agile Funding, and net of payments to Agile of $320 and $178 in respect to early prepayment of the remaining outstanding balances of the July Agile Note and September Agile Note. The December Agile Note has a maturity date of July 10, 2025 and bears interest at a rate of 44%.</w:t>
      </w:r>
    </w:p>
    <w:p>
      <w:pPr>
        <w:pStyle w:val="TextBody"/>
        <w:bidi w:val="0"/>
        <w:jc w:val="both"/>
        <w:rPr>
          <w:rFonts w:ascii="Times New Roman" w:hAnsi="Times New Roman"/>
          <w:color w:val="000000"/>
          <w:sz w:val="20"/>
        </w:rPr>
      </w:pPr>
      <w:r>
        <w:rPr>
          <w:rFonts w:ascii="Times New Roman" w:hAnsi="Times New Roman"/>
          <w:color w:val="000000"/>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 and received net proceeds of $2,044, after administrative agent fees of $200 paid to Agile Funding, and net of payments to Agile of $1,756 in respect to early prepayment of the remaining outstanding balances of the December Agile Note. The March Agile Note has a maturity date of November 12, 2025 and bears interest at a rate of 44%.</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$1,770.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12, 2025, the Company issued a subordinated secured promissory note (the “June Agile Note”) for an aggregate principal amount of $263 and received net proceeds of $250, after administrative agent fees of $13 paid to Agile Funding. The June Agile note has a maturity date of December 15, 2025 and bears interest at a rate of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30, 2026, the Company issued a subordinated secured promissory note (the “March 2026 Agile Note”) for an aggregate principal amount of $90 and received net proceeds of $85, after administrative agent fees of $5 paid to Agile Funding. The March 2026 Agile note has a maturity date of October 27, 2026 and bears interest at a rate of 44%.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and/or the September Agile Note, in accordance with their terms, in whole or in part at any time. On the date of such prepayment of any principal amounts, the Company will owe to Agile a Prepayment Fee comprising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hAnsi="Times New Roman"/>
          <w:i/>
          <w:color w:val="000000"/>
          <w:sz w:val="20"/>
        </w:rPr>
        <w:t>Note 7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11, 2025, the remaining principal and accrued and unpaid interest under the March Agile Note was approximately $1,495.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15, 2025, the Company entered into an exchange agreement with Agile ("Agile Exchange Agreement") pursuant to which the Company issued 11,640 shares of its Class A common stock in exchange for a reduction of $284 in the outstanding balance of the March Agile Note. Following this exchange, the outstanding balance of the March Agile Note was reduced to approximately $1,839.</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January 27, 2026 and June 25, 2026, the Company entered into multiple exchange agreements with Agile on substantially similar terms as the Agile Exchange Agreement pursuant to which the Company issued an aggregate of 303,451 shares of its Class A common stock at conversion prices per share ranging from $2.95 to $23.60 in exchange for a reduction of $1,839 in the outstanding balance of the March Agile Note. Following these exchanges, the outstanding balance of the March Agile Note was fully extinguished.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on the Agile Notes totaled $17 and $450 for the three and six months ended June 30, 2026,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presents the Agile Notes for the six months ended June 30, 2026:</w:t>
      </w:r>
    </w:p>
    <w:p>
      <w:pPr>
        <w:pStyle w:val="TextBody"/>
        <w:bidi w:val="0"/>
        <w:jc w:val="left"/>
        <w:rPr/>
      </w:pPr>
      <w:r>
        <w:rPr/>
        <w:t> </w:t>
      </w:r>
    </w:p>
    <w:tbl>
      <w:tblPr>
        <w:tblW w:w="6133" w:type="dxa"/>
        <w:jc w:val="left"/>
        <w:tblInd w:w="0" w:type="dxa"/>
        <w:tblLayout w:type="fixed"/>
        <w:tblCellMar>
          <w:top w:w="28" w:type="dxa"/>
          <w:left w:w="28" w:type="dxa"/>
          <w:bottom w:w="28" w:type="dxa"/>
          <w:right w:w="28" w:type="dxa"/>
        </w:tblCellMar>
      </w:tblPr>
      <w:tblGrid>
        <w:gridCol w:w="4186"/>
        <w:gridCol w:w="146"/>
        <w:gridCol w:w="398"/>
        <w:gridCol w:w="1192"/>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Agile Term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1800 Diagonal 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 and received net proceeds of $152, after an original issue discount of $24 and issuance costs of $8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24, 2024, the Company issued a second promissory note (the “September 1800 Diagonal Note”) for an aggregate principal amount of $124,200 and received net proceeds of $100, after an original discount of $16 and issuance costs of $8 for due diligence and legal fees. The September 1800 Diagonal Note has a maturity date of July 30, 2025 and bears interest at 12%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23, 2025, the Company exercised its conversion option under the September 1800 Diagonal Note. On the conversion date, the September 1800 Diagonal Note had a fair value of $17 and converted into 352 shares of the Company's Class A Common Stock in satisfaction of $17 of the Company's obligations under the September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10, 2024, the Company issued a third promissory note (the “December 1800 Diagonal Note”) for an aggregate principal amount of $124 and received net proceeds of $100, after an original discount of $16 and issuance costs of $8 for due diligence and legal fees. The December 1800 Diagonal Note has a maturity date of October 15, 2025 and bears interest at 12%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22, 2025, the Company exercised its conversion option under the December 1800 Diagonal Note. On the conversion date, the December 1800 Diagonal Note had a fair value of $58 and converted into 999 shares of the Company's Class A Common Stock in satisfaction of $52 of the Company's obligations under the December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 and received net proceeds of $100, after an original discount of $16 and issuance costs of $8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$81 and converted into 1,639 shares of the Company's Class A Common Stock in satisfaction of $70 of the Company's obligations under the February 1800 Diagonal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2025, the Company issued a fifth promissory note (the “April 1800 Diagonal Note”) for an aggregate principal amount of $230 and received net proceeds of $192, after an original discount of $30 and issuance costs of $8 for due diligence and legal fees. The April 1800 Diagonal Note has a maturity date of February 15, 2026 and bears interest at 12%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 and received net proceeds of $135, after an original discount of $21 and issuance costs of $7 for due diligence and legal fees. The May 1800 Diagonal Note has a maturity date of February 15, 2026 and bears interest at 12%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23, 2025, the Company issued a seventh promissory note (the “July 1800 Diagonal Note”) for an aggregate principal amount of $296 and received net proceeds of $250, after an original discount of $39 and issuance costs of $7 for due diligence and legal fees. The July 1800 Diagonal Note has a maturity date of May 30, 2026 and bears interest at 12% per annum.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January 26, 2026 and January 27, 2026, the Lender exercised its conversion option multiple times under the July 1800 Diagonal Note and received an aggregate of 20,047 shares of Class A Common Stock at conversion prices per share ranging from $16.50 to $18.00 in full satisfaction of the Company's remaining obligations under the July 1800 Diagonal Note totaling $331.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12, 2025, the Company issued an eighth promissory note (the “September 2025 1800 Diagonal Note”) for an aggregate principal amount of $152 and received net proceeds of $125, after an original discount of $20 and issuance costs of $7 for due diligence and legal fees. The September 2025 1800 Diagonal Note has a maturity date of June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19, 2026, the Lender exercised its conversion option under the July 1800 Diagonal Note and received 3,766 shares of Class A Common Stock at a conversion price per share of $14.745 in full satisfaction of the Company's remaining obligations under the July 1800 Diagonal Note totaling $54.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4, 2025, the Company issued a ninth promissory note (the “November 1800 Diagonal Note”) for an aggregate principal amount of $238 and received net proceeds of $200, after an original discount of $31 and issuance costs of $7 for due diligence and legal fees. The November 1800 Diagonal Note has a maturity date of July 30,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3, 2025, the Company issued a tenth promissory note (the “December 2025 1800 Diagonal Note”) for an aggregate principal amount of $94 and received net proceeds of $75, after an original discount of $12 and issuance costs of $7 for due diligence and legal fees. The December 2025 1800 Diagonal Note has a maturity date of August 30, 2026 and bears interest at 14% per annum.</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12, 2026, the Company issued an eleventh promissory note (the “1800 Diagonal Note #11”) for an aggregate principal amount of $296 and received net proceeds of $250, after an original discount of $39 and issuance costs of $7 for due diligence and legal fees. The 1800 Diagonal Note #11 has a maturity date of October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17, 2026, the Company issued a twelfth promissory note (the “1800 Diagonal Note #12”) for an aggregate principal amount of $181 and received net proceeds of $150, after an original discount of $24 and issuance costs of $7 for due diligence and legal fees. The 1800 Diagonal Note #12 has a maturity date of December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4, 2026, the Company issued the thirteenth promissory note (the “1800 Diagonal Note #13”) for an aggregate principal amount of approximately $206 and received net proceeds of approximately $150, after discount and transaction fees. The note has a maturity date of January 30, 2027, and bears interest at 14%.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$136 thousand of the Company's obligations under the respective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August, September, December, February, April, May, July, September 2025, November, December 2025, Note #11, Note #12 and Note #13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hAnsi="Times New Roman"/>
          <w:i/>
          <w:color w:val="000000"/>
          <w:sz w:val="20"/>
        </w:rPr>
        <w:t>Note 7 –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1800 Diagonal Notes totaled approximately $57 and $172 for the three and six months ended June 30, 2026, respectively.</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1800 Diagonal Notes for the six months ended June 30, 2026:</w:t>
      </w:r>
    </w:p>
    <w:tbl>
      <w:tblPr>
        <w:tblW w:w="5893" w:type="dxa"/>
        <w:jc w:val="left"/>
        <w:tblInd w:w="0" w:type="dxa"/>
        <w:tblLayout w:type="fixed"/>
        <w:tblCellMar>
          <w:top w:w="28" w:type="dxa"/>
          <w:left w:w="28" w:type="dxa"/>
          <w:bottom w:w="28" w:type="dxa"/>
          <w:right w:w="28" w:type="dxa"/>
        </w:tblCellMar>
      </w:tblPr>
      <w:tblGrid>
        <w:gridCol w:w="4186"/>
        <w:gridCol w:w="146"/>
        <w:gridCol w:w="411"/>
        <w:gridCol w:w="939"/>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1800 Diagonal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3i, LP Private Placement Offering</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notes of the Company, in the aggregate original principal amount of $11.0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 w:hAnsi="Times New Roman"/>
          <w:i/>
          <w:color w:val="212529"/>
          <w:sz w:val="20"/>
        </w:rPr>
        <w:t>Note 14 – Equity</w:t>
      </w:r>
      <w:r>
        <w:rPr>
          <w:rFonts w:ascii="Times New Roman" w:hAnsi="Times New Roman"/>
          <w:color w:val="212529"/>
          <w:sz w:val="20"/>
        </w:rPr>
        <w:t>, for further description of the Warrants issued in the Private Placement Offering.</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("OID")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jc w:val="both"/>
        <w:rPr/>
      </w:pPr>
      <w:r>
        <w:rPr/>
        <w:t> </w:t>
      </w:r>
    </w:p>
    <w:tbl>
      <w:tblPr>
        <w:tblW w:w="10748" w:type="dxa"/>
        <w:jc w:val="left"/>
        <w:tblInd w:w="0" w:type="dxa"/>
        <w:tblLayout w:type="fixed"/>
        <w:tblCellMar>
          <w:top w:w="28" w:type="dxa"/>
          <w:left w:w="28" w:type="dxa"/>
          <w:bottom w:w="28" w:type="dxa"/>
          <w:right w:w="28" w:type="dxa"/>
        </w:tblCellMar>
      </w:tblPr>
      <w:tblGrid>
        <w:gridCol w:w="841"/>
        <w:gridCol w:w="146"/>
        <w:gridCol w:w="826"/>
        <w:gridCol w:w="146"/>
        <w:gridCol w:w="961"/>
        <w:gridCol w:w="146"/>
        <w:gridCol w:w="211"/>
        <w:gridCol w:w="571"/>
        <w:gridCol w:w="146"/>
        <w:gridCol w:w="146"/>
        <w:gridCol w:w="218"/>
        <w:gridCol w:w="593"/>
        <w:gridCol w:w="146"/>
        <w:gridCol w:w="146"/>
        <w:gridCol w:w="251"/>
        <w:gridCol w:w="680"/>
        <w:gridCol w:w="146"/>
        <w:gridCol w:w="146"/>
        <w:gridCol w:w="251"/>
        <w:gridCol w:w="680"/>
        <w:gridCol w:w="146"/>
        <w:gridCol w:w="146"/>
        <w:gridCol w:w="826"/>
        <w:gridCol w:w="146"/>
        <w:gridCol w:w="146"/>
        <w:gridCol w:w="676"/>
        <w:gridCol w:w="146"/>
        <w:gridCol w:w="146"/>
        <w:gridCol w:w="211"/>
        <w:gridCol w:w="57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Closing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Note Issued by </w:t>
              <w:br/>
              <w:t>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 of the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Principal Amount of the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Proceeds Received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Floor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Issued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Buyer Warrants Issued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Buyer Warrant Exercise Price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3i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3i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3i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Private Placement Convertible Notes were issued with an OID of 10.0% and accrue interest at a rate of 10.0% per annum. The net proceeds received by the Company are after the OID and issuance fees and costs, financial advisory fees and estimated offering expenses. The Private Placement Convertible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Convertible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 w:hAnsi="Times New Roman"/>
          <w:i/>
          <w:color w:val="000000"/>
          <w:sz w:val="20"/>
        </w:rPr>
        <w:t xml:space="preserve">Note 11 – Debt </w:t>
      </w:r>
      <w:r>
        <w:rPr>
          <w:rFonts w:ascii="Times New Roman" w:hAnsi="Times New Roman"/>
          <w:color w:val="000000"/>
          <w:sz w:val="20"/>
        </w:rPr>
        <w:t>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In addition, if an Event of Default (as defined in the Notes) has occurred, the Buyer may elect convert (each, an “Alternate Conversion," and the date of such Alternate Conversion, each, an “Alternate Conversion Date”) all, or any part of, the Conversion Amount (such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212529"/>
          <w:sz w:val="20"/>
        </w:rPr>
      </w:pPr>
      <w:r>
        <w:rPr>
          <w:rFonts w:ascii="Times New Roman" w:hAnsi="Times New Roman"/>
          <w:color w:val="212529"/>
          <w:sz w:val="20"/>
        </w:rPr>
        <w:t>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Conversions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$1,420.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$1,412 of the Company's obligations under the August 3i Note.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$1,677 of the Company's obligations under the October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January 7, 2026 and February 10, 2026, the Buyer exercised its contractual conversion option multiple times under the August 3i Note and received an aggregate of 36,667 shares of Class A Common Stock at a conversion price per share of $22.20 in satisfaction of $807 of the Company's obligations under the August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January 8, 2026 and February 19, 2026, the Buyer exercised its contractual conversion option multiple times under the October 3i Note and received an aggregate of 60,764 shares of Class A Common Stock at conversion prices per share ranging from $17.20 to $20.40 in satisfaction of $1,073 of the Company's obligations under the October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March 2, 2026 and March 25, 2026, the Buyer exercised its contractual conversion option multiple times under the February 3i Note and received an aggregate of 46,371 shares of Class A Common Stock at conversion prices per share ranging from $16.60 to $19.60 in satisfaction of $856 of the Company's obligations under the October 3i Note.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Between April 2, 2026 and May 12, 2026, the Buyer exercised its contractual conversion option multiple times under the February 3i Note and received an aggregate of approximately 145 thousand shares of Class A Common Stock at conversion prices per share ranging from $5.08 to $15.39 in satisfaction of approximately $1.2 million of the Company's obligations under the respective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Private Placement Convertible Notes totaled approximately $19 and $201 for the three and six months ended June 30, 2026, respectively.</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Private Placement Convertible Notes as of June 30, 2026:</w:t>
      </w:r>
    </w:p>
    <w:p>
      <w:pPr>
        <w:pStyle w:val="TextBody"/>
        <w:bidi w:val="0"/>
        <w:jc w:val="left"/>
        <w:rPr/>
      </w:pPr>
      <w:r>
        <w:rPr/>
        <w:t> </w:t>
      </w:r>
    </w:p>
    <w:tbl>
      <w:tblPr>
        <w:tblW w:w="5668" w:type="dxa"/>
        <w:jc w:val="left"/>
        <w:tblInd w:w="0" w:type="dxa"/>
        <w:tblLayout w:type="fixed"/>
        <w:tblCellMar>
          <w:top w:w="28" w:type="dxa"/>
          <w:left w:w="28" w:type="dxa"/>
          <w:bottom w:w="28" w:type="dxa"/>
          <w:right w:w="28" w:type="dxa"/>
        </w:tblCellMar>
      </w:tblPr>
      <w:tblGrid>
        <w:gridCol w:w="4186"/>
        <w:gridCol w:w="146"/>
        <w:gridCol w:w="282"/>
        <w:gridCol w:w="843"/>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3i, LP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Boot Capital Convertible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3, 2025, the Company issued a promissory note (the “Boot Capital Note”) for an aggregate principal amount of $115 and received $100 of proceeds, net of an original discount of $15,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Due to these embedded features, the Company elected to account for the Boot Capital Note at fair value pursuant to ASC 825. For further discussion of fair value, see </w:t>
      </w:r>
      <w:r>
        <w:rPr>
          <w:rFonts w:ascii="Times New Roman" w:hAnsi="Times New Roman"/>
          <w:i/>
          <w:color w:val="000000"/>
          <w:sz w:val="20"/>
        </w:rPr>
        <w:t>Note 7 –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Boot Capital Note totaled approximately $11 and $21 for the three and six months ended June 30, 2026,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Boot Capital Convertible Note as of June 30, 2026:</w:t>
      </w:r>
    </w:p>
    <w:p>
      <w:pPr>
        <w:pStyle w:val="TextBody"/>
        <w:bidi w:val="0"/>
        <w:jc w:val="left"/>
        <w:rPr/>
      </w:pPr>
      <w:r>
        <w:rPr/>
        <w:t> </w:t>
      </w:r>
    </w:p>
    <w:tbl>
      <w:tblPr>
        <w:tblW w:w="5728" w:type="dxa"/>
        <w:jc w:val="left"/>
        <w:tblInd w:w="0" w:type="dxa"/>
        <w:tblLayout w:type="fixed"/>
        <w:tblCellMar>
          <w:top w:w="28" w:type="dxa"/>
          <w:left w:w="28" w:type="dxa"/>
          <w:bottom w:w="28" w:type="dxa"/>
          <w:right w:w="28" w:type="dxa"/>
        </w:tblCellMar>
      </w:tblPr>
      <w:tblGrid>
        <w:gridCol w:w="4186"/>
        <w:gridCol w:w="146"/>
        <w:gridCol w:w="394"/>
        <w:gridCol w:w="79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Boot Capital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Venture Issuance and Payoff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31, 2026, the Company executed a promissory note ("Venture Note") for an aggregate principal amount of approximately $487 and on April 8, 2026 received net proceeds of approximately $333, after discount and transaction fees. The note has a maturity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of August 18, 2026, and bears interest at 198.5% per annum. The Company paid off this note on May 6, 2026. Interest expense on the Venture Note totaled approximately $110 and $110 for the three and six months ended June 30, 2026,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TVT Capital Promissory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April 28, 2026, the Company executed a promissory note ("TVT Note") for an aggregate principal amount of approximately $834 and received net proceeds of approximately $579, after discount and transaction fees. The note has a maturity date of January 5, 2027, and bears interest at 106.71% per annum.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TVT Note totaled approximately $58 and $58 for the three and six months ended June 30, 2026, respectively.</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TVT Capital Promissory Note as of June 30, 2026:</w:t>
      </w:r>
    </w:p>
    <w:p>
      <w:pPr>
        <w:pStyle w:val="TextBody"/>
        <w:bidi w:val="0"/>
        <w:jc w:val="both"/>
        <w:rPr/>
      </w:pPr>
      <w:r>
        <w:rPr/>
        <w:t> </w:t>
      </w:r>
    </w:p>
    <w:tbl>
      <w:tblPr>
        <w:tblW w:w="5728" w:type="dxa"/>
        <w:jc w:val="left"/>
        <w:tblInd w:w="0" w:type="dxa"/>
        <w:tblLayout w:type="fixed"/>
        <w:tblCellMar>
          <w:top w:w="28" w:type="dxa"/>
          <w:left w:w="28" w:type="dxa"/>
          <w:bottom w:w="28" w:type="dxa"/>
          <w:right w:w="28" w:type="dxa"/>
        </w:tblCellMar>
      </w:tblPr>
      <w:tblGrid>
        <w:gridCol w:w="4186"/>
        <w:gridCol w:w="146"/>
        <w:gridCol w:w="360"/>
        <w:gridCol w:w="825"/>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TVT Capital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Warrant Liabilities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Public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assumed Public Warrants in the Merger, exercisable into 1,150 shares of Common Stock of the Company, and which remained outstanding as of June 30, 2026.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Redemption of Public Warrants When the price per Share of Class A Common Stock Equals or Exceeds $180,000.00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a price of $100.00 per Warrant;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a minimum of 30 days' prior written notice of redemption (the "30-day redemption period"); and</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rPr>
        <w:t>if, and only if, the closing price per share of Class A Common Stock equals or exceeds $180,000.00 per share (as adjusted for adjustments to the number of shares issuable upon exercise or the exercise price of a Public Warrant as described under the heading “—</w:t>
      </w:r>
      <w:r>
        <w:rPr>
          <w:rFonts w:ascii="Times New Roman" w:hAnsi="Times New Roman"/>
          <w:i/>
          <w:color w:val="000000"/>
          <w:sz w:val="20"/>
        </w:rPr>
        <w:t>Warrants—Public Stockholder Warrants—Anti-dilution Adjustments</w:t>
      </w:r>
      <w:r>
        <w:rPr>
          <w:rFonts w:ascii="Times New Roman" w:hAnsi="Times New Roman"/>
          <w:color w:val="000000"/>
          <w:sz w:val="20"/>
        </w:rPr>
        <w:t>” in the Resale Registration Statement) for any 20 trading days within a 30-trading day period ending three trading days before the Company sends the notice of redemption to the warrant 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 w:hAnsi="Times New Roman"/>
          <w:i/>
          <w:color w:val="000000"/>
          <w:sz w:val="20"/>
        </w:rPr>
        <w:t>Warrants—Public Stockholder Warrants—Anti-dilution Adjustments</w:t>
      </w:r>
      <w:r>
        <w:rPr>
          <w:rFonts w:ascii="Times New Roman" w:hAnsi="Times New Roman"/>
          <w:color w:val="000000"/>
          <w:sz w:val="20"/>
        </w:rPr>
        <w:t>” in the Resale Registration Statement) as well as the $115,000.00 per share (for whole shares) Public Warrant exercise price after the redemption notice is issued.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GEM Financing Arrangement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GEM Letter, see </w:t>
      </w:r>
      <w:r>
        <w:rPr>
          <w:rFonts w:ascii="Times New Roman" w:hAnsi="Times New Roman"/>
          <w:i/>
          <w:color w:val="000000"/>
          <w:sz w:val="20"/>
        </w:rPr>
        <w:t>Note 11 – Debt</w:t>
      </w:r>
      <w:r>
        <w:rPr>
          <w:rFonts w:ascii="Times New Roman" w:hAnsi="Times New Roman"/>
          <w:color w:val="000000"/>
          <w:sz w:val="20"/>
        </w:rPr>
        <w:t xml:space="preserve"> for further details, at Closing, the GEM Warrant automatically became an obligation of the Company, and on December 15, 2023, the Company issued the GEM Warrant granting GEM the right to purchase 83 shares at an exercise price of $65,120.00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our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GEM Warrant may not be exercised if such exercise would result in the beneficial ownership of the holder and its affiliates in excess of 9.99% of the then-issued and outstanding shares of Common Stock.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Private Placement Offering Warrants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Private Placement Convertible Notes, see </w:t>
      </w:r>
      <w:r>
        <w:rPr>
          <w:rFonts w:ascii="Times New Roman" w:hAnsi="Times New Roman"/>
          <w:i/>
          <w:color w:val="000000"/>
          <w:sz w:val="20"/>
        </w:rPr>
        <w:t>Note 11 – Debt</w:t>
      </w:r>
      <w:r>
        <w:rPr>
          <w:rFonts w:ascii="Times New Roman" w:hAnsi="Times New Roman"/>
          <w:color w:val="000000"/>
          <w:sz w:val="20"/>
        </w:rPr>
        <w:t xml:space="preserve"> for further details, at Closing, the Company issued Private Placement Warrants. Holders of the Private Placement Warrants may exercise the Private Placement Warrants at any time and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 xml:space="preserve">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hAnsi="Times New Roman"/>
          <w:i/>
          <w:color w:val="000000"/>
          <w:sz w:val="20"/>
        </w:rPr>
        <w:t>Note 7 – Fair Value Measurements.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an operating lease for its office space. Supplemental cash flow information related to leases are as follows:</w:t>
      </w:r>
    </w:p>
    <w:p>
      <w:pPr>
        <w:pStyle w:val="TextBody"/>
        <w:bidi w:val="0"/>
        <w:jc w:val="both"/>
        <w:rPr/>
      </w:pPr>
      <w:r>
        <w:rPr/>
        <w:t> </w:t>
      </w:r>
    </w:p>
    <w:tbl>
      <w:tblPr>
        <w:tblW w:w="9346" w:type="dxa"/>
        <w:jc w:val="left"/>
        <w:tblInd w:w="0" w:type="dxa"/>
        <w:tblLayout w:type="fixed"/>
        <w:tblCellMar>
          <w:top w:w="28" w:type="dxa"/>
          <w:left w:w="28" w:type="dxa"/>
          <w:bottom w:w="28" w:type="dxa"/>
          <w:right w:w="28" w:type="dxa"/>
        </w:tblCellMar>
      </w:tblPr>
      <w:tblGrid>
        <w:gridCol w:w="5866"/>
        <w:gridCol w:w="146"/>
        <w:gridCol w:w="432"/>
        <w:gridCol w:w="770"/>
        <w:gridCol w:w="340"/>
        <w:gridCol w:w="299"/>
        <w:gridCol w:w="432"/>
        <w:gridCol w:w="770"/>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 (operating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lease liabilities (operating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Sidley Austin LLP</w:t>
      </w:r>
    </w:p>
    <w:p>
      <w:pPr>
        <w:pStyle w:val="TextBody"/>
        <w:bidi w:val="0"/>
        <w:jc w:val="both"/>
        <w:rPr>
          <w:rFonts w:ascii="Times New Roman" w:hAnsi="Times New Roman"/>
          <w:color w:val="000000"/>
          <w:sz w:val="20"/>
        </w:rPr>
      </w:pPr>
      <w:r>
        <w:rPr>
          <w:rFonts w:ascii="Times New Roman" w:hAnsi="Times New Roman"/>
          <w:color w:val="000000"/>
          <w:sz w:val="20"/>
        </w:rPr>
        <w:t>On September 19, 2024, the Company entered into a Repayment Agreement with Sidley Austin LLP (“Sidley”) for previously provided legal services (the “Sidley Repayment Agreement”). Under the Sidley Repayment Agreement, the Company’s outstanding fees have been lowered from $4,816 to $1,605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unaudited condensed consolidated statements of operations for the three months ended March 31, 2025.</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Donnelley Financial LLC</w:t>
      </w:r>
    </w:p>
    <w:p>
      <w:pPr>
        <w:pStyle w:val="TextBody"/>
        <w:bidi w:val="0"/>
        <w:jc w:val="both"/>
        <w:rPr>
          <w:rFonts w:ascii="Times New Roman" w:hAnsi="Times New Roman"/>
          <w:color w:val="000000"/>
          <w:sz w:val="20"/>
        </w:rPr>
      </w:pPr>
      <w:r>
        <w:rPr>
          <w:rFonts w:ascii="Times New Roman" w:hAnsi="Times New Roman"/>
          <w:color w:val="000000"/>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 to $357 (the “Donnelley Unpaid Fee”). The Donnelley Unpaid Fee will be paid in 12 monthly installments, with the first monthly payment of $45 due on October 1, 2024; the remaining 11 payments shall each be in the amount of $28.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Company made all required payments as of June 30, 2026 and accordingly recognized a gain on settlement of $0.7 million, recognized within gain on extinguishment of liabilities on the unaudited condensed consolidated statements of operations during the three months ended June 30, 2026.</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Verista Partners, Inc.</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26, 2024, the Company entered into a Repayment Agreement with Verista Partners, Inc. aka Winterberry Group, (“Verista” or “Winterberry”) for previously provided services (the “Verista Repayment Agreement”). Under the Verista Repayment Agreement, the Company’s outstanding fees are $197 (the “Verista Unpaid Fee”). The Company and Verista have agreed that the Verista Unpaid Fee will be repaid with $67 worth of shares of the Company, and $130 in 16 equal cash installment payments of $8 beginning on October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1, 2024, and on the first day of each month thereafter through January 1, 2026. As of June 30, 2026, the Company had issued 150 shares and made aggregate installment payments of $78 to Verista. The remaining unpaid balance of $46 is included in Accounts Payable on the condensed consolidated balance sheets as of June 30,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Payment to Act-On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January 22, 2025, the Company announced its entry into an Agreement and Plan of Merger with Act-On Software, Inc. and on June 6, 2025, Act-On served Banzai with a notice of termination to terminate the Merger Agreement and any related agreements, and accordingly, the Company was required to pay certain termination fees including $500 in liquidated damages to cover certain transaction expenses that Act-On incurred in connection with the proposed merger, and $882 in additional interest and extension fees associated with one of Act-On’s outstanding debts that the Company had intended to payoff in connection with the proposed merger. As of June 30, 2025, the Company had paid the total amount owed of approximately $1.4 million to Act-On.</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Legal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14.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capital stock consists of Class A Common Stock, Class B Common Stock, Preferred Stock and Series FE Preferred Stock. All classes of stock have a par value of $0.0001 per share. The table below sets forth information about the Company’s equity, as of June 30, 2026: </w:t>
      </w:r>
    </w:p>
    <w:p>
      <w:pPr>
        <w:pStyle w:val="TextBody"/>
        <w:bidi w:val="0"/>
        <w:spacing w:before="200" w:after="283"/>
        <w:jc w:val="both"/>
        <w:rPr/>
      </w:pPr>
      <w:r>
        <w:rPr/>
        <w:t> </w:t>
      </w:r>
    </w:p>
    <w:tbl>
      <w:tblPr>
        <w:tblW w:w="6632" w:type="dxa"/>
        <w:jc w:val="left"/>
        <w:tblInd w:w="0" w:type="dxa"/>
        <w:tblLayout w:type="fixed"/>
        <w:tblCellMar>
          <w:top w:w="28" w:type="dxa"/>
          <w:left w:w="28" w:type="dxa"/>
          <w:bottom w:w="28" w:type="dxa"/>
          <w:right w:w="28" w:type="dxa"/>
        </w:tblCellMar>
      </w:tblPr>
      <w:tblGrid>
        <w:gridCol w:w="2206"/>
        <w:gridCol w:w="146"/>
        <w:gridCol w:w="146"/>
        <w:gridCol w:w="1141"/>
        <w:gridCol w:w="146"/>
        <w:gridCol w:w="146"/>
        <w:gridCol w:w="146"/>
        <w:gridCol w:w="931"/>
        <w:gridCol w:w="146"/>
        <w:gridCol w:w="146"/>
        <w:gridCol w:w="154"/>
        <w:gridCol w:w="987"/>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Series FE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2,656,723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2,690,579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Class A and B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has the authority to issue preferred stock and to determine the rights, privileges, preferences, restrictions, and voting rights of those shares.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Series FE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Yorkville Standby Equity Purchase Agreement ("SEPA")</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$100 million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advance (each, an “Advance”) the Company requests under the SEPA (notice of such request, an “Advance Notice”) may be for a number of shares of Class A common stock up to the greater of (i) 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95% of the average daily Volume Weighted Average Price (“VWAP”) of the Class A Common Stock on the Nasdaq Stock Market (“Nasdaq”), subject to certain conditions per the SEPA (the “Option 1 Pricing Period; 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96% of the lowest daily VWAP of the Class A Common Stock during the three trading days commencing on the Advance Notice date, subject to certain conditions per the SEPA (the “Option 2 Pricing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execution of the SEPA, the Company agreed to pay a commitment fee of $500 to Yorkville at the earlier of (i) March 14, 2024 or (ii) the termination of the SEPA, which will be payable, at the option of the Company, in cash or shares of Class A Common Stock through an Advance (the “Deferred Fee”). In March 2024 the Company issued 71 shares of Class A Common Stock as payment for the Deferred Fee.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$100,000.00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 months ended June 30, 2026, the Company issued Advance Notices to Yorkville pursuant to the SEPA requesting the purchase of shares of the Company’s Class A common stock subject to both the Option 1 Pricing Period (the “Option 1 Advances”) and the Option 2 Pricing Period (the “Option 2 Advances”).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 months ended June 30, 2026, the Company requested the purchase of a total of 1,088,150 shares of the Company’s Class A common stock in connection with the Option 1 Advances, which Yorkville purchased for a total purchase price of approximately $4,736. The Company recognized a loss of approximately $189 on the sales during the six months ended June 30, 2026, which represents the difference between the fair value of the shares issued and the proceeds received from the sales.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requested the purchase of a total of 140,000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$38 in the aggregate, the fair values of which represented the intrinsic value of the requested number of shares of Class A common stock on the Advance Notice dates. The Company recognized a loss of approximately $38 during the six months ended June 30, 2026 representing the change in fair value of the derivative liabilities during the period from the Advance Notice dates and the settlement dates of the Option 2 Advances. Upon settlement of the Option 2 Advances, the Company sold an aggregate of 140,000 shares of the Company’s Class A common stock to Yorkville for total proceeds of approximately $755.</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under ATM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 (excluding any periodic due diligence fees) incurred in connection with entering into the transactions contemplated by the ATM Agreement and has agreed to reimburse Wainwright up to a maximum of $5 per Representation Date (as defined in the ATM Agreement) in connection with a new Registration Statement or the filing of the Company’s Annual Report on Form 10-K and approximately $3 in connection with each other Representation Date, plus any incidental expense incurred by the Manager in connection therewith.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issued 107,258 shares under the ATM Agreement for net proceeds of approximately $2,636.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Hudson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 2025, the Company issued 750 restricted shares of its Common Stock, with a determined fair value of $232, partially in exchange for the business advisory services outlined in the consulting agreement with Hudson Global Ventures, LLC, a Nevada limited liability company ("Hudson"). On April 25, 2025, July 1, 2025, and September 3, 2025, the Company issued 2,000, 1,180, and 2,600, respectively, restricted shares of its Class A Common Stock to Hudson, in exchange for certain business advisory services as outlined in a consulting agreement with Hudson, executed on April 1,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Verista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August 26, 2024, the Company issued 150 shares of its Common Stock, with a determined fair value of $50, in partial settlement of amounts owing to Verista. Refer to </w:t>
      </w:r>
      <w:r>
        <w:rPr>
          <w:rFonts w:ascii="Times New Roman" w:hAnsi="Times New Roman"/>
          <w:i/>
          <w:color w:val="000000"/>
          <w:sz w:val="20"/>
        </w:rPr>
        <w:t>Note 13 – Commitments and Contingencies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Vidello Acquisition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disclosed above, on January 31, 2025, the Company closed the previously announced merger with Vidello. As part of the consideration paid to the Vidello Shareholders, the Company issued 4,491 shares of Class A Common Stock, with a determined fair value of $1,662. Refer to </w:t>
      </w:r>
      <w:r>
        <w:rPr>
          <w:rFonts w:ascii="Times New Roman" w:hAnsi="Times New Roman"/>
          <w:i/>
          <w:color w:val="000000"/>
          <w:sz w:val="20"/>
        </w:rPr>
        <w:t>Note 4 – Acquisitions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pre-funded warrant exercise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7, 2025, the Company issued 4 shares of Class A Common Stock to CP BF, resulting from the exercise by CP BF of exercise of four (4) pre-funded warrants under the CP BF Pre-Funded Warrant. See </w:t>
      </w:r>
      <w:r>
        <w:rPr>
          <w:rFonts w:ascii="Times New Roman" w:hAnsi="Times New Roman"/>
          <w:i/>
          <w:color w:val="000000"/>
          <w:sz w:val="20"/>
        </w:rPr>
        <w:t>Note 12 – Warrant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21, 2025, the Company issued 5,244 shares of Class A Common Stock to Alco, resulting from the exercise by Alco of pre-funded warrants purchased during September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26, 2025, the Company issued 58,832 shares of Class A Common Stock to FE IV Aggregator, resulting from the exercise by FE IV Aggregator of Pre-Funded Warrants held by FE Aggregator as part of the OpenReel Merger Consideration.</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Stock-Based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stock option activity under the 2023 Equity Incentive Plan ("Plan") during the six months ended June 30, 2026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6"/>
        <w:gridCol w:w="146"/>
        <w:gridCol w:w="395"/>
        <w:gridCol w:w="1143"/>
        <w:gridCol w:w="166"/>
        <w:gridCol w:w="146"/>
        <w:gridCol w:w="335"/>
        <w:gridCol w:w="1479"/>
        <w:gridCol w:w="146"/>
        <w:gridCol w:w="146"/>
        <w:gridCol w:w="636"/>
        <w:gridCol w:w="2033"/>
        <w:gridCol w:w="146"/>
        <w:gridCol w:w="146"/>
        <w:gridCol w:w="375"/>
        <w:gridCol w:w="616"/>
        <w:gridCol w:w="195"/>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Underlying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June 30, 2026 and 2025, the Company recorded stock-based compensation expense related to stock options of $23 and $50, which is included in general and administrative expense. As of June 30, 2026 and 2025, $203 and $191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measures the fair value of RSUs using the stock price on the date of grant. Stock-based compensation expense for employee-granted RSUs is generally recorded ratably over their vesting period of (a) four years, with 25% of the RSUs vesting on each anniversary, or (b) one year, with 25% vesting quarterly, or (c) one year, with 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summary of the RSU activity during the six months ended June 30, 2026 is as follows: </w:t>
      </w:r>
    </w:p>
    <w:p>
      <w:pPr>
        <w:pStyle w:val="TextBody"/>
        <w:bidi w:val="0"/>
        <w:jc w:val="both"/>
        <w:rPr/>
      </w:pPr>
      <w:r>
        <w:rPr/>
        <w:t> </w:t>
      </w:r>
    </w:p>
    <w:tbl>
      <w:tblPr>
        <w:tblW w:w="7757" w:type="dxa"/>
        <w:jc w:val="left"/>
        <w:tblInd w:w="0" w:type="dxa"/>
        <w:tblLayout w:type="fixed"/>
        <w:tblCellMar>
          <w:top w:w="28" w:type="dxa"/>
          <w:left w:w="28" w:type="dxa"/>
          <w:bottom w:w="28" w:type="dxa"/>
          <w:right w:w="28" w:type="dxa"/>
        </w:tblCellMar>
      </w:tblPr>
      <w:tblGrid>
        <w:gridCol w:w="2941"/>
        <w:gridCol w:w="146"/>
        <w:gridCol w:w="146"/>
        <w:gridCol w:w="736"/>
        <w:gridCol w:w="166"/>
        <w:gridCol w:w="146"/>
        <w:gridCol w:w="781"/>
        <w:gridCol w:w="250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June 30, 2026 and 2025, the Company recorded total stock-based compensation expense related to RSUs of $1,065 and $1,043, respectively, which is included in general and administrative expense. As of June 30, 2026 and 2025, unrecognized compensation cost related to the grant of RSUs was $1,542 and $191, respectively. Unvested outstanding RSUs as of June 30, 2026 and 2025 had a weighted average remaining vesting period of 1.73 and 2.25 years, respectively.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CEO Award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2025, the Board granted an equity award to the Company’s CEO ("CEO Award") that includes a market condition based on specified market capitalization thresholds ranging from $15.0 million to $30.0 million, which result in stock grants ranging from $250 to $750, up to $2.0 million in the aggregate. At inception, the CEO Award was equity-classified and the grant-date fair value was estimated using a Monte Carlo simulation model, using historical volatility as a key input. On April 2, 2026 the Company modified the terms of the CEO Award and issued 22,300 shares of Class B Common Stock to the Company’s CEO, of which, approximately 14,867 shares relate to a tranche of the CEO Award vesting upon achieving a market capitalization threshold, and the remaining 7,433 shares relate to the CEO's 2025 bonus payment. The Company recognized $324 and $541 of stock-based compensation expense related to this award for the three and six months ended June 30, 2026, respectively.</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16.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estimates an annual effective tax rate of 19% for the year ended December 31, 2026. The effective tax rate for the six months ended June 30, 2026 is 0.63%.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June 30, 2026, the Company had no unrecognized tax benefits that would reduce the Company’s effective tax rate if recognized.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Segment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three reportable operating segments, Banzai Operating, OpenReel, and Vidello. The Company’s segments deliver SaaS tools that leverage data, analytics, and AI to provide marketing and sales solutions, including video production and editing, for businesses of all sizes. </w:t>
      </w:r>
    </w:p>
    <w:p>
      <w:pPr>
        <w:pStyle w:val="TextBody"/>
        <w:bidi w:val="0"/>
        <w:jc w:val="both"/>
        <w:rPr>
          <w:rFonts w:ascii="Times New Roman" w:hAnsi="Times New Roman"/>
          <w:color w:val="000000"/>
          <w:sz w:val="20"/>
        </w:rPr>
      </w:pPr>
      <w:r>
        <w:rPr>
          <w:rFonts w:ascii="Times New Roman" w:hAnsi="Times New Roman"/>
          <w:color w:val="000000"/>
          <w:sz w:val="20"/>
        </w:rPr>
        <w:t xml:space="preserve">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presents information about segments for the three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323"/>
        <w:gridCol w:w="971"/>
        <w:gridCol w:w="166"/>
        <w:gridCol w:w="146"/>
        <w:gridCol w:w="251"/>
        <w:gridCol w:w="680"/>
        <w:gridCol w:w="346"/>
        <w:gridCol w:w="346"/>
        <w:gridCol w:w="219"/>
        <w:gridCol w:w="502"/>
        <w:gridCol w:w="366"/>
        <w:gridCol w:w="346"/>
        <w:gridCol w:w="367"/>
        <w:gridCol w:w="1101"/>
        <w:gridCol w:w="314"/>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Other segment expenses for each reportable segment includes travel and entertainment expenses, professional expenses other than those included in transaction and public company expenses, and the SEPA commitment fee expense and deferred fee expense.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presents information about segments for the six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323"/>
        <w:gridCol w:w="971"/>
        <w:gridCol w:w="166"/>
        <w:gridCol w:w="146"/>
        <w:gridCol w:w="251"/>
        <w:gridCol w:w="680"/>
        <w:gridCol w:w="346"/>
        <w:gridCol w:w="346"/>
        <w:gridCol w:w="219"/>
        <w:gridCol w:w="502"/>
        <w:gridCol w:w="366"/>
        <w:gridCol w:w="346"/>
        <w:gridCol w:w="367"/>
        <w:gridCol w:w="1101"/>
        <w:gridCol w:w="314"/>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Other segment expenses for each reportable segment includes provision for credit losses, foreign currency exchange rate changes, travel and entertainment expenses, professional expenses other than those included in transaction and public company expenses, insurance expenses, and expenses related to licenses.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presents information about segments for the three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323"/>
        <w:gridCol w:w="971"/>
        <w:gridCol w:w="166"/>
        <w:gridCol w:w="146"/>
        <w:gridCol w:w="251"/>
        <w:gridCol w:w="680"/>
        <w:gridCol w:w="366"/>
        <w:gridCol w:w="346"/>
        <w:gridCol w:w="240"/>
        <w:gridCol w:w="481"/>
        <w:gridCol w:w="346"/>
        <w:gridCol w:w="346"/>
        <w:gridCol w:w="367"/>
        <w:gridCol w:w="1101"/>
        <w:gridCol w:w="314"/>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Other segment expenses for each reportable segment includes travel and entertainment expenses, professional expenses other than those included in transaction and public company expenses, and the SEPA commitment fee expense and deferred fee expense. The expense classification for 2025 has been recast to conform to the current year expense classification.</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presents information about segments for the six months ended June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56"/>
        <w:gridCol w:w="146"/>
        <w:gridCol w:w="321"/>
        <w:gridCol w:w="965"/>
        <w:gridCol w:w="166"/>
        <w:gridCol w:w="146"/>
        <w:gridCol w:w="251"/>
        <w:gridCol w:w="680"/>
        <w:gridCol w:w="366"/>
        <w:gridCol w:w="346"/>
        <w:gridCol w:w="214"/>
        <w:gridCol w:w="582"/>
        <w:gridCol w:w="346"/>
        <w:gridCol w:w="346"/>
        <w:gridCol w:w="365"/>
        <w:gridCol w:w="1096"/>
        <w:gridCol w:w="313"/>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Vidello</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The Vidello acquisition occurred on January 31, 2025 (refer to </w:t>
      </w:r>
      <w:r>
        <w:rPr>
          <w:rFonts w:ascii="Times New Roman" w:hAnsi="Times New Roman"/>
          <w:i/>
          <w:color w:val="000000"/>
          <w:sz w:val="20"/>
        </w:rPr>
        <w:t>Note 4 – Acquisitions</w:t>
      </w:r>
      <w:r>
        <w:rPr>
          <w:rFonts w:ascii="Times New Roman" w:hAnsi="Times New Roman"/>
          <w:color w:val="000000"/>
          <w:sz w:val="20"/>
        </w:rPr>
        <w:t xml:space="preserve"> and therefore does not represent activity for the full six month period in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Other segment expenses for each reportable segment includes travel and entertainment expenses, professional expenses other than those included in transaction and public company expenses, and the SEPA commitment fee expense and deferred fee expense. The expense classification for 2025 has been recast to conform to the current year expense classification.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three months ended June 30, 2026 and 2025 is as follows:</w:t>
      </w:r>
    </w:p>
    <w:p>
      <w:pPr>
        <w:pStyle w:val="TextBody"/>
        <w:bidi w:val="0"/>
        <w:jc w:val="left"/>
        <w:rPr/>
      </w:pPr>
      <w:r>
        <w:rPr/>
        <w:t> </w:t>
      </w:r>
    </w:p>
    <w:tbl>
      <w:tblPr>
        <w:tblW w:w="6792" w:type="dxa"/>
        <w:jc w:val="left"/>
        <w:tblInd w:w="0" w:type="dxa"/>
        <w:tblLayout w:type="fixed"/>
        <w:tblCellMar>
          <w:top w:w="28" w:type="dxa"/>
          <w:left w:w="28" w:type="dxa"/>
          <w:bottom w:w="28" w:type="dxa"/>
          <w:right w:w="28" w:type="dxa"/>
        </w:tblCellMar>
      </w:tblPr>
      <w:tblGrid>
        <w:gridCol w:w="3811"/>
        <w:gridCol w:w="146"/>
        <w:gridCol w:w="277"/>
        <w:gridCol w:w="830"/>
        <w:gridCol w:w="218"/>
        <w:gridCol w:w="192"/>
        <w:gridCol w:w="277"/>
        <w:gridCol w:w="830"/>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six months ended June 30, 2026 and 2025 is as follows:</w:t>
      </w:r>
    </w:p>
    <w:p>
      <w:pPr>
        <w:pStyle w:val="TextBody"/>
        <w:bidi w:val="0"/>
        <w:jc w:val="both"/>
        <w:rPr/>
      </w:pPr>
      <w:r>
        <w:rPr/>
        <w:t> </w:t>
      </w:r>
    </w:p>
    <w:tbl>
      <w:tblPr>
        <w:tblW w:w="6952" w:type="dxa"/>
        <w:jc w:val="left"/>
        <w:tblInd w:w="0" w:type="dxa"/>
        <w:tblLayout w:type="fixed"/>
        <w:tblCellMar>
          <w:top w:w="28" w:type="dxa"/>
          <w:left w:w="28" w:type="dxa"/>
          <w:bottom w:w="28" w:type="dxa"/>
          <w:right w:w="28" w:type="dxa"/>
        </w:tblCellMar>
      </w:tblPr>
      <w:tblGrid>
        <w:gridCol w:w="4011"/>
        <w:gridCol w:w="146"/>
        <w:gridCol w:w="228"/>
        <w:gridCol w:w="796"/>
        <w:gridCol w:w="179"/>
        <w:gridCol w:w="157"/>
        <w:gridCol w:w="228"/>
        <w:gridCol w:w="796"/>
        <w:gridCol w:w="41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Disaggregation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percentage of revenue generated by SaaS product for the six months ended June 30, 2026 and 2025:</w:t>
      </w:r>
    </w:p>
    <w:p>
      <w:pPr>
        <w:pStyle w:val="TextBody"/>
        <w:bidi w:val="0"/>
        <w:jc w:val="left"/>
        <w:rPr/>
      </w:pPr>
      <w:r>
        <w:rPr/>
        <w:t> </w:t>
      </w:r>
    </w:p>
    <w:tbl>
      <w:tblPr>
        <w:tblW w:w="3669" w:type="dxa"/>
        <w:jc w:val="left"/>
        <w:tblInd w:w="0" w:type="dxa"/>
        <w:tblLayout w:type="fixed"/>
        <w:tblCellMar>
          <w:top w:w="28" w:type="dxa"/>
          <w:left w:w="28" w:type="dxa"/>
          <w:bottom w:w="28" w:type="dxa"/>
          <w:right w:w="28" w:type="dxa"/>
        </w:tblCellMar>
      </w:tblPr>
      <w:tblGrid>
        <w:gridCol w:w="1021"/>
        <w:gridCol w:w="146"/>
        <w:gridCol w:w="172"/>
        <w:gridCol w:w="675"/>
        <w:gridCol w:w="320"/>
        <w:gridCol w:w="172"/>
        <w:gridCol w:w="172"/>
        <w:gridCol w:w="675"/>
        <w:gridCol w:w="31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OpenReel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Vidello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The Vidello acquisition occurred on January 31, 2025 (refer to </w:t>
      </w:r>
      <w:r>
        <w:rPr>
          <w:rFonts w:ascii="Times New Roman" w:hAnsi="Times New Roman"/>
          <w:i/>
          <w:color w:val="000000"/>
          <w:sz w:val="20"/>
        </w:rPr>
        <w:t>Note 4 – Acquisitions</w:t>
      </w:r>
      <w:r>
        <w:rPr>
          <w:rFonts w:ascii="Times New Roman" w:hAnsi="Times New Roman"/>
          <w:color w:val="000000"/>
          <w:sz w:val="20"/>
        </w:rPr>
        <w:t xml:space="preserve"> and therefore does not represent activity for the full six month period in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disaggregation of revenue by geographic area, refer to </w:t>
      </w:r>
      <w:r>
        <w:rPr>
          <w:rFonts w:ascii="Times New Roman" w:hAnsi="Times New Roman"/>
          <w:i/>
          <w:color w:val="000000"/>
          <w:sz w:val="20"/>
        </w:rPr>
        <w:t>Note 6 – Revenue</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18. Subsequent Events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ConnectAndSell Asset Purchase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Parabolic’s portfolio, extending the Company’s reach across more of the customer revenue journey. For more information regarding this acquisition, see “</w:t>
      </w:r>
      <w:r>
        <w:rPr>
          <w:rFonts w:ascii="Times New Roman" w:hAnsi="Times New Roman"/>
          <w:i/>
          <w:color w:val="000000"/>
          <w:sz w:val="20"/>
        </w:rPr>
        <w:t>Management’s Discussion and Analysis of Financial Condition and Results of Operations” (“MD&amp;A”)</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Transaction Financing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 2026 (the “Effective Date”), the Company and its subsidiaries (together, the “Borrowers”) entered into a Subordinated Business Loan and Security Agreement (the “Loan Agreement”) with Agile Capital Funding, LLC, as collateral agent, and Agile Lending, LLC, as lead lender (together, with any assignees party thereto, the “Lenders”). Pursuant to the Loan Agreement, the Borrowers issued a Subordinated Secured Promissory Note ("Agile Note #8”), dated July 1, 2026, in the aggregate principal amount of $2.1 million, and received $2.0 million of proceeds, net of a $100 Administrative Agent Fee. Agile Note #8 is repayable in 32 weekly installments of approximately $95, representing a payment multiplier of 1.44x, and all amounts are due on February 10, 2027 (the “Maturity Date”). Borrowers may voluntarily prepay Agile Note #8 in full, and if repaid within 30, 45, or 60 days after the Effective Date, the total loan payoff amount is reduced to $2.625 million, $2.73 million, or $2.835 million,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Agile Note #8 is secured by a continuing security interest in substantially all assets of the Borrowers (the “Collateral”), and both the Collateral and the Borrowers’ repayment obligations under Agile Note #8 are subordinate to existing senior indebtedness, including indebtedness owed to CP BF Lending, LLC, 3i, LP, and Hudson Global Ventures, LLC.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Loan Agreement contains customary covenants and events of default. Upon the occurrence of an Event of Default, the Lenders may, at their option, declare the entire unpaid principal balance of Agile Note #8,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Aegis Public Offering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CP BF Letter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17, 2026, the Company, the Guarantors and CP BF entered into another letter agreement pursuant to which CP BF may not convert any portion of the Note, and the Company may not issue shares to CP BF thereunder, to the extent CP BF and its affiliates would beneficially own more than 9.99% of the Class A Common Stock outstanding after giving effect to such conversion or issuance.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Yorkville Advanced Notice Settlements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Subsequent to June 30, 2026, the Company issued Advance Notices to Yorkville pursuant to the SEPA and requested aggregate purchases of 190,000 shares of the Company's Class A Common Stock at an aggregate gross value and net proceeds of approximately $334 and $321,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1800 Diagonal Note Issuances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17, 2026, the Company issued a promissory note ("1800 Diagonal Note #14") for an aggregate principal amount of approximately $135 and received net proceeds of approximately $110, after discount and transaction fees. The note has a maturity date of April 15, 2027, and bears interest at 77.7%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12, 2026, the Company issued a promissory note ("1800 Diagonal Note #15") for an aggregate principal amount of approximately $144 and received net proceeds of approximately $118, after discount and transaction fees. The note has a maturity date of May 15, 2027, and bears interest at 74.4% per annum.</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1800 Diagonal Note Conversions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5, 2026 and August 14, 2026, the Lender exercised its contractual conversion option under the December 1800 Diagonal Note and and the January 1800 Diagonal Note, respectively, and received an aggregate of approximately 57 thousand shares of Class A Common Stock at conversion prices ranging from $1.245 to $1.305, in satisfaction of approximately $37 and $35 of the Company's obligations under the December 1800 Diagonal Note and the January 1800 Diagonal Note, respectively.</w:t>
      </w:r>
    </w:p>
    <w:p>
      <w:pPr>
        <w:pStyle w:val="TextBody"/>
        <w:bidi w:val="0"/>
        <w:spacing w:before="20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UCAP LLC Convertible Note Issuance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5, 2026, the Company issued a 12% convertible redeemable note to UCAP LLC ("UCAP Note") for an aggregate principal amount of approximately $556 and received net proceeds of approximately $480, after discount and transaction fees. The note matures on August 5, 2027 and is convertible into shares of the Company's Class A Common Stock at a variable conversion price based on the market price of the Company's Class A Common Stock. The Company has elected to account for the note under fair value option.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Boot Capital Conversion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6, 2026, the Lender exercised its contractual conversion option under the Boot Capital Note and received an aggregate of approximately 17 thousand shares of Class A Common Stock at a conversion price of $1.305 in satisfaction of approximately $22 of the Company's obligations under the Note.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Private Placement Convertible Note Payoff</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7, 2026, the Company paid cash of approximately $600 to 3i, LP, and the February 3i Note was fully repaid.</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Private Placement Convertible Note Issuance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12, 2026, the parties held an additional closing pursuant to the terms of the Purchase Agreement (the “August 2026 Closing”) and the Company issued an additional convertible note (the "3i Note #5"), additional buyer warrants (the “3i Note #5 Warrants"), and additional Financial Advisor warrants (the "3i Note #5 FA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3i Note #5 has an original principal amount of $1,100, matures on August 12, 2027, and has a initial conversion price of $1.96 per share that is subject to a floor price of $0.35. Upon issuance, the Company received proceeds of approximately $1.0 million, net of OID and issuance fees and costs.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3i Note #5 Warrants allow for the purchase of up to 112,531 shares of Common Stock at an initial exercise price of $1.96 per share, are exercisable immediately upon issuance, and expire on August 12, 2029. The 3i Note #5 FA Warrants allow for the purchase of up to 35,714 shares of Common Stock at an initial exercise price of $2.45 per share, are exercisable immediately upon issuance, and expire on August 12, 2031.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Other than the specific terms described above, the 3i Note #5, the 3i Note #5 Warrants, and the 3i Note #5 FA Warrants have the same terms as the 3i, LP Private Placement Convertible Notes, the Private Placement Warrants and the Financial Advisor Warrants that are more fully described in </w:t>
      </w:r>
      <w:r>
        <w:rPr>
          <w:rFonts w:ascii="Times New Roman" w:hAnsi="Times New Roman"/>
          <w:i/>
          <w:color w:val="000000"/>
          <w:sz w:val="20"/>
        </w:rPr>
        <w:t>Note 11 – Debt</w:t>
      </w:r>
      <w:r>
        <w:rPr>
          <w:rFonts w:ascii="Times New Roman" w:hAnsi="Times New Roman"/>
          <w:color w:val="000000"/>
          <w:sz w:val="20"/>
        </w:rPr>
        <w:t xml:space="preserve">, see – </w:t>
      </w:r>
      <w:r>
        <w:rPr>
          <w:rFonts w:ascii="Times New Roman" w:hAnsi="Times New Roman"/>
          <w:i/>
          <w:color w:val="000000"/>
          <w:sz w:val="20"/>
        </w:rPr>
        <w:t>3i, LP Private Placement Offering.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7_mda"/>
      <w:bookmarkEnd w:id="9"/>
      <w:r>
        <w:rPr>
          <w:rFonts w:ascii="Times New Roman" w:hAnsi="Times New Roman"/>
          <w:b/>
          <w:color w:val="000000"/>
          <w:sz w:val="20"/>
        </w:rPr>
        <w:t>Item 2. Management’s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that are included elsewhere in this Quarterly Report on Form 10-Q ("Report").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more fully described in this report and those more fully described elsewhere in this Report and in the "Risk Factors" section of our Annual Report on Form 10-K for the year ended December 31, 2025.</w:t>
      </w:r>
    </w:p>
    <w:p>
      <w:pPr>
        <w:pStyle w:val="TextBody"/>
        <w:bidi w:val="0"/>
        <w:jc w:val="both"/>
        <w:rPr>
          <w:rFonts w:ascii="Times New Roman" w:hAnsi="Times New Roman"/>
          <w:i/>
          <w:color w:val="000000"/>
          <w:sz w:val="20"/>
        </w:rPr>
      </w:pPr>
      <w:r>
        <w:rPr>
          <w:rFonts w:ascii="Times New Roman" w:hAnsi="Times New Roman"/>
          <w:i/>
          <w:color w:val="000000"/>
          <w:sz w:val="20"/>
        </w:rPr>
        <w:t>Unless otherwise indicated, all dollar amounts included in this Management’s Discussion and Analysis are presented in thousands. 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Marketing Technology (MarTech) company that produces data-driven marketing and sales solutions for businesses of all sizes. Our mission is to help our customers accomplish their mission - by enabling better marketing, sales, and customer engagement outcomes. We endeavor to acquire companies strategically positioned to enhance our product and service offerings, increasing the value provided to current and prospective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on August 6, 2026, we began doing business under the trade name "Parabolic." This rebrand does not change our legal name, which remains Banzai International, Inc., howeer, in connection with the rebrand, the trading symbols for our Class A common stock, par value $0.0001 per share (the "Class A Common Stock") and redeemable warrants on The Nasdaq Capital Market changed from "BNZI" and "BNZIW" to "PARA" and "PARAW," respectively, effective on August 7, 2026. The rebranding reflects the evolution of the Company’s vision from a marketing technology point-solution provider to a cost efficient platform that invests in and grows companies offering AI-powered solutions to the B2B channel across the full customer lifecycle. Throughout this Report, we may refer to the Company as Banzai or Parabolic.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were founded in 2015. The first product we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both Vidello and the assets of Superblocks in 2025, and the assets of ConnectAndSell in 2026, further expanding our platform and customer base.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Second Quarter 2026 Financial and Operational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27.3% to $2.3 million for second quarter 2026 compared to second quarter 2025. Total cost of revenue decreased by 18.8% quarter over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was $1.8 million for second quarter 2026, compared to $2.6 million in second quarter 2025. Gross margin was 80.2% in second quarter 2026 compared to 82.3% in second quarter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decreased to $5.0 million for second quarter 2026, compared to $7.9 million in second quarter 2025, which represents a $3.0 million improvement quarter over quarter.</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increased to $12.2 million as of June 30, 2026; we converted $0.6 million of debt to equity, which included paying off the Yorkville convertible notes, and raised an additional $1.2 million from the SEPA during second quarter 2026.</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ConnectAndSell Asset Purchase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 2026, we completed the acquisition of substantially all assets of and certain specified liabilities of ConnectAndSell, Inc., an AI sales acceleration platform. ConnectAndSell serves approximately 250 B2B organizations such as Intuit, RingCentral, Truckstop, and SAP across financial services, healthcare, technology, and other industries. ConnectAndSell’s FY 2025 revenue was $14.7 million, with a gross margin of 86%.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terms of the Asset Purchase Agreement (“APA”), total consideration was $13.2 million, comprised of: closing consideration of $750 thousand in cash, 294,917 shares of Class A Common Stock and 1,685,175 Pre-Funded Warrants (together valued at $5.9 million), and a one year promissory note ("C&amp;S Note") for $1.8 million issued at Closing bearing interest at 8% per annum, repayable in quarterly payments; deferred consideration totaling $4.75 million; and earn-out payments tied to revenue performance in the twelve months following closing.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deferred consideration consists of a first deferred cash payment of $1.5 million due no later than 10 days after closing, and a second deferred cash payment of $3.25 million payable within three (3) business days following the earlier of (x) the date that the SEC declares effective the registration statement covering the securities issued in the Private Placement (as defined below) and (y) December 31, 2026, provided that if the second deferred cash payment becomes due and payable after September 30, 2026, the amount will be increased by simple interest at a rate of 8% per annum from September 30, 2026 until repaid.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Common Stock with an aggregate value of $1.34 million (based on the Closing VWAP) will be withheld by the Company at the Closing and retained for a period of twelve (12) months following the Closing as security for ConnectAndSell’s indemnification obligations under the APA (“Holdback Shares”). Subject to certain limited exceptions, ConnectAndSell’s aggregate indemnification liability for breaches of representations and warranties is limited to the Holdback Shares, subject to a deductible equal to one percent (1.0%) of the purchase price. The Holdback Shares will be released to ConnectAndSell within five (5) business days after the expiration of the survival period, less any shares retained in satisfaction of or reserved for pending indemnification claims.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APA contains ownership limitations whereby the Company may not issue shares to ConnectAndSell that would result in ConnectAndSell and its affiliates beneficially owning more than 9.99% of the Common Stock outstanding immediately following the Closing (the “Beneficial Ownership Limitation”), or more than 19.99% of the Common Stock and Class B common stock outstanding immediately prior to the Closing. The Company will issue Pre-Funded Warrants one for one at an exercise price of $0.0001 in lieu of shares if restricted by Beneficial Ownership Limitations.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must obtain stockholder approval for the issuance of shares of Common Stock (including shares underlying the Pre-Funded Warrants) to the extent required to comply with Nasdaq Listing Rule 5635 (the “Stockholders’ Approval”). The Company’s board of directors has approved the APA and recommends that the Company’s stockholders vote to approve the share issuance. If the Stockholders’ Approval is not obtained within 120 days following the Closing (or such longer period as mutually agreed by the parties in writing), the Company will be required to pay ConnectAndSell in cash an amount equal to the Closing Non-Cash Consideration (as defined in the APA) within 30 days thereafter, upon which ConnectAndSell will surrender to the Company for cancellation the Pre-Funded Warrants (or portions thereof) corresponding to such cash payment.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Closing, the Company’s CEO and Chairman of the Board, Joe Davy, executed a Voting and Support Agreement requiring him to vote all the shares beneficially owned by him in favor of issuing Shares of Common Stock and Pre-Funded Warrants contemplated by the APA to meet Nasdaq listing standards.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Closing, the Company entered into a registration rights agreement with ConnectAndSell, pursuant to which the Company will agree to register for resale the shares of Common Stock and the Pre-Funded Warrants issued pursuant to the APA, and the shares of Common Stock issuable upon exercise of the Pre-Funded Warrants. The Company has agreed to file a registration statement within thirty (30) days following the Closing and to use commercially reasonable efforts to cause such registration statement to be declared effective within ninety (90) days following the Closing (or one hundred twenty (120) days if the SEC reviews and has written comments to the registration statement), and to use commercially reasonable efforts to maintain the effectiveness of the registration statement, subject to liquidated damages if these obligations are not met.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the addition of ConnectAndSell strengthens its position as a provider of integrated marketing and sales technology solutions while creating meaningful cross-sell opportunities across the combined company’s customer base. The transaction also furthers our strategy of building a powerful platform of revenue-generating software solutions. The majority of ConnectAndSell’s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thirty-eight team members will join Parabolic as part of the transaction, bringing their substantial AI experience to us. We expect to recognize additional financial synergies through cost consolidation by the end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acquisition is expected to materially affect our results of operations going forward. Because the acquisition closed on July 2, 2026, its results of operations will be included in our consolidated results prospectively from that date; historical periods presented in this Quarterly Report do not reflect ConnectAndSell’s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Transaction Financing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“Agile Note #8”), dated July 1, 2026, in the aggregate principal amount of $2.1 million, and received $2.0 million of proceeds, net of a $100 Administrative Agent Fee. Agile Note #8 is repayable in 32 weekly installments of approximately $95, representing a payment multiplier of 1.44x, and all amounts are due on February 10, 2027 (the “Maturity Date”). Borrowers may voluntarily prepay Agile Note #8 in full, and if repaid within 30, 45, or 60 days after the Effective Date, the total loan payoff amount is reduced to $2.625 million, $2.73 million, or $2.835 million,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Agile Note #8 is secured by a continuing security interest in substantially all assets of the Borrowers (the “Collateral”), and both the Collateral and the Borrowers’ repayment obligations under Agile Note #8 are subordinate to existing senior indebtedness, including indebtedness owed to CP BF Lending, LLC, 3i, LP, and Hudson Global Ventures, LLC.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Loan Agreement contains customary covenants and events of default. Upon the occurrence of an Event of Default, the Lenders may, at their option, declare the entire unpaid principal balance of Agile Note #8,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Aegis Public Offering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 The aggregate market value of the shares of Class A Common Stock eligible for sale under the ATM Prospectus Supplement was approximately $0.1 million following the public offering on July 14, 2026, which is based on the limitations of General Instruction I.B.6 of Form S-3.</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Nasdaq Listing Compliance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 Business Combination and Public Company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Business Combination was accounted for as a reverse recapitalization. Under this method of accounting, 7GC was treated as the acquired company for financial statement reporting purposes. Accordingly, for accounting purposes, the financial statements of Parabolic represent a continuation of the financial statements of Legacy Parabolic with the Business Combination treated as the equivalent of Legacy Parabolic issuing stock for the net assets of 7GC, accompanied by a recapitalization. The net assets of 7GC were stated at historical cost, with no goodwill or other intangible assets recorded. Operations prior to the Business Combination are those of Legacy Parabolic in this and future reports of Parabolic.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the Business Combination, we became the successor to an SEC-registered and Nasdaq-listed company, which required Parabolic to hire additional personnel and implement procedures and processes to address public company regulatory requirements and customary practices. We incurred and expect to incur additional annual expenses as a public company for, among other things,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Parabolic’s historical results of operations and financial position as a result of the Business Combination.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45"/>
        <w:gridCol w:w="146"/>
        <w:gridCol w:w="211"/>
        <w:gridCol w:w="736"/>
        <w:gridCol w:w="166"/>
        <w:gridCol w:w="146"/>
        <w:gridCol w:w="211"/>
        <w:gridCol w:w="736"/>
        <w:gridCol w:w="166"/>
        <w:gridCol w:w="146"/>
        <w:gridCol w:w="211"/>
        <w:gridCol w:w="631"/>
        <w:gridCol w:w="166"/>
        <w:gridCol w:w="146"/>
        <w:gridCol w:w="146"/>
        <w:gridCol w:w="631"/>
        <w:gridCol w:w="965"/>
      </w:tblGrid>
      <w:tr>
        <w:trPr/>
        <w:tc>
          <w:tcPr>
            <w:tcW w:w="4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percentage changes included in the tables herein present favorable period-over-period amounts and percentages as positive and unfavorable as negative, and percentages not considered meaningful as “NM."</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the six months ended June 30, 2026 and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Analysis</w:t>
      </w:r>
    </w:p>
    <w:p>
      <w:pPr>
        <w:pStyle w:val="TextBody"/>
        <w:bidi w:val="0"/>
        <w:jc w:val="both"/>
        <w:rPr/>
      </w:pPr>
      <w:r>
        <w:rPr/>
        <w:t> </w:t>
      </w:r>
    </w:p>
    <w:tbl>
      <w:tblPr>
        <w:tblW w:w="6316" w:type="dxa"/>
        <w:jc w:val="left"/>
        <w:tblInd w:w="0" w:type="dxa"/>
        <w:tblLayout w:type="fixed"/>
        <w:tblCellMar>
          <w:top w:w="28" w:type="dxa"/>
          <w:left w:w="28" w:type="dxa"/>
          <w:bottom w:w="28" w:type="dxa"/>
          <w:right w:w="28" w:type="dxa"/>
        </w:tblCellMar>
      </w:tblPr>
      <w:tblGrid>
        <w:gridCol w:w="1486"/>
        <w:gridCol w:w="146"/>
        <w:gridCol w:w="249"/>
        <w:gridCol w:w="674"/>
        <w:gridCol w:w="172"/>
        <w:gridCol w:w="172"/>
        <w:gridCol w:w="249"/>
        <w:gridCol w:w="674"/>
        <w:gridCol w:w="146"/>
        <w:gridCol w:w="146"/>
        <w:gridCol w:w="211"/>
        <w:gridCol w:w="631"/>
        <w:gridCol w:w="166"/>
        <w:gridCol w:w="146"/>
        <w:gridCol w:w="146"/>
        <w:gridCol w:w="526"/>
        <w:gridCol w:w="3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from Banzai Operating, OpenReel and Vidello decreased by approximately $135, $416, and $986 respectively, for the six months ended June 30,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 of Revenue Analysis</w:t>
      </w:r>
    </w:p>
    <w:p>
      <w:pPr>
        <w:pStyle w:val="TextBody"/>
        <w:bidi w:val="0"/>
        <w:jc w:val="both"/>
        <w:rPr/>
      </w:pPr>
      <w:r>
        <w:rPr/>
        <w:t> </w:t>
      </w:r>
    </w:p>
    <w:tbl>
      <w:tblPr>
        <w:tblW w:w="5963" w:type="dxa"/>
        <w:jc w:val="left"/>
        <w:tblInd w:w="0" w:type="dxa"/>
        <w:tblLayout w:type="fixed"/>
        <w:tblCellMar>
          <w:top w:w="28" w:type="dxa"/>
          <w:left w:w="28" w:type="dxa"/>
          <w:bottom w:w="28" w:type="dxa"/>
          <w:right w:w="28" w:type="dxa"/>
        </w:tblCellMar>
      </w:tblPr>
      <w:tblGrid>
        <w:gridCol w:w="1486"/>
        <w:gridCol w:w="146"/>
        <w:gridCol w:w="270"/>
        <w:gridCol w:w="540"/>
        <w:gridCol w:w="187"/>
        <w:gridCol w:w="187"/>
        <w:gridCol w:w="270"/>
        <w:gridCol w:w="733"/>
        <w:gridCol w:w="146"/>
        <w:gridCol w:w="146"/>
        <w:gridCol w:w="211"/>
        <w:gridCol w:w="421"/>
        <w:gridCol w:w="146"/>
        <w:gridCol w:w="146"/>
        <w:gridCol w:w="146"/>
        <w:gridCol w:w="466"/>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Cost of revenue from Banzai Operating, OpenReel and Vidello decreased by approximately $4, $33, and $152, respectively, for the six months ended June 30, 2026.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 Analysis</w:t>
      </w:r>
    </w:p>
    <w:p>
      <w:pPr>
        <w:pStyle w:val="TextBody"/>
        <w:bidi w:val="0"/>
        <w:jc w:val="both"/>
        <w:rPr/>
      </w:pPr>
      <w:r>
        <w:rPr/>
        <w:t> </w:t>
      </w:r>
    </w:p>
    <w:tbl>
      <w:tblPr>
        <w:tblW w:w="6316" w:type="dxa"/>
        <w:jc w:val="left"/>
        <w:tblInd w:w="0" w:type="dxa"/>
        <w:tblLayout w:type="fixed"/>
        <w:tblCellMar>
          <w:top w:w="28" w:type="dxa"/>
          <w:left w:w="28" w:type="dxa"/>
          <w:bottom w:w="28" w:type="dxa"/>
          <w:right w:w="28" w:type="dxa"/>
        </w:tblCellMar>
      </w:tblPr>
      <w:tblGrid>
        <w:gridCol w:w="1486"/>
        <w:gridCol w:w="146"/>
        <w:gridCol w:w="249"/>
        <w:gridCol w:w="674"/>
        <w:gridCol w:w="172"/>
        <w:gridCol w:w="172"/>
        <w:gridCol w:w="249"/>
        <w:gridCol w:w="674"/>
        <w:gridCol w:w="146"/>
        <w:gridCol w:w="146"/>
        <w:gridCol w:w="211"/>
        <w:gridCol w:w="631"/>
        <w:gridCol w:w="166"/>
        <w:gridCol w:w="146"/>
        <w:gridCol w:w="146"/>
        <w:gridCol w:w="526"/>
        <w:gridCol w:w="3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from Banzai Operating, OpenReel and Vidello decreased by approximately $131, $383 and $834, respectively, for the six months ended June 30,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Operating Expense Analysis </w:t>
      </w:r>
    </w:p>
    <w:p>
      <w:pPr>
        <w:pStyle w:val="TextBody"/>
        <w:bidi w:val="0"/>
        <w:jc w:val="both"/>
        <w:rPr/>
      </w:pPr>
      <w:r>
        <w:rPr/>
        <w:t> </w:t>
      </w:r>
    </w:p>
    <w:tbl>
      <w:tblPr>
        <w:tblW w:w="6602" w:type="dxa"/>
        <w:jc w:val="left"/>
        <w:tblInd w:w="0" w:type="dxa"/>
        <w:tblLayout w:type="fixed"/>
        <w:tblCellMar>
          <w:top w:w="28" w:type="dxa"/>
          <w:left w:w="28" w:type="dxa"/>
          <w:bottom w:w="28" w:type="dxa"/>
          <w:right w:w="28" w:type="dxa"/>
        </w:tblCellMar>
      </w:tblPr>
      <w:tblGrid>
        <w:gridCol w:w="2161"/>
        <w:gridCol w:w="146"/>
        <w:gridCol w:w="223"/>
        <w:gridCol w:w="716"/>
        <w:gridCol w:w="154"/>
        <w:gridCol w:w="154"/>
        <w:gridCol w:w="223"/>
        <w:gridCol w:w="716"/>
        <w:gridCol w:w="146"/>
        <w:gridCol w:w="146"/>
        <w:gridCol w:w="221"/>
        <w:gridCol w:w="441"/>
        <w:gridCol w:w="153"/>
        <w:gridCol w:w="153"/>
        <w:gridCol w:w="153"/>
        <w:gridCol w:w="380"/>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operating expenses remained essentially flat compared to the prior period. Salaries, taxes and benefits, as well as stock-based compensation expense increased during the six months ended June 30, 2026 driven by Banzai Operating and OpenReel. These were partially offset by decreases in marketing expenses and technology expenses during six months ended June 30, 2026 at Banzai Operating and OpenReel, respectively.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Expense Analysis</w:t>
      </w:r>
    </w:p>
    <w:p>
      <w:pPr>
        <w:pStyle w:val="TextBody"/>
        <w:bidi w:val="0"/>
        <w:jc w:val="both"/>
        <w:rPr/>
      </w:pPr>
      <w:r>
        <w:rPr/>
        <w:t> </w:t>
      </w:r>
    </w:p>
    <w:tbl>
      <w:tblPr>
        <w:tblW w:w="6976" w:type="dxa"/>
        <w:jc w:val="left"/>
        <w:tblInd w:w="0" w:type="dxa"/>
        <w:tblLayout w:type="fixed"/>
        <w:tblCellMar>
          <w:top w:w="28" w:type="dxa"/>
          <w:left w:w="28" w:type="dxa"/>
          <w:bottom w:w="28" w:type="dxa"/>
          <w:right w:w="28" w:type="dxa"/>
        </w:tblCellMar>
      </w:tblPr>
      <w:tblGrid>
        <w:gridCol w:w="2146"/>
        <w:gridCol w:w="146"/>
        <w:gridCol w:w="249"/>
        <w:gridCol w:w="674"/>
        <w:gridCol w:w="172"/>
        <w:gridCol w:w="172"/>
        <w:gridCol w:w="249"/>
        <w:gridCol w:w="674"/>
        <w:gridCol w:w="146"/>
        <w:gridCol w:w="146"/>
        <w:gridCol w:w="211"/>
        <w:gridCol w:w="631"/>
        <w:gridCol w:w="166"/>
        <w:gridCol w:w="146"/>
        <w:gridCol w:w="146"/>
        <w:gridCol w:w="526"/>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we reported total other expenses, net of approximately $3.3 million. The change in other expenses, net was primarily driven by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interest expense of approximately $0.5 million recognized during the six months ended June 30, 2026 compared to $0.9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on extinguishment of liabilities of approximately $0.7 million recognized during the six months ended June 30, 2026 compared to $4.5 million recognized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issuance of debt of approximately $0.2 million during the six months ended June 30, 2026 compared to $0.4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Private Placement Issuance of debt of approximately $1.6 million during the six months ended June 30, 2026 compared to $0.8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debt, net of approximately $58 thousand during the six months ended June 30, 2026 compared to $1.8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change in fair value of financial instruments and convertible notes of approximately $0.7 million (loss) during the six months ended June 30, 2026 compared to $0.6 million (loss)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SEPA advances to Yorkville of approximately $0.2 million during the six months ended June 30, 2026 compared to $0.7 million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expense was approximately $0.8 million expense during the six months ended June 30, 2026 compared to approximately $1.2 million expense during the six months ended June 30, 2025.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tbl>
      <w:tblPr>
        <w:tblW w:w="6924" w:type="dxa"/>
        <w:jc w:val="left"/>
        <w:tblInd w:w="0" w:type="dxa"/>
        <w:tblLayout w:type="fixed"/>
        <w:tblCellMar>
          <w:top w:w="28" w:type="dxa"/>
          <w:left w:w="28" w:type="dxa"/>
          <w:bottom w:w="28" w:type="dxa"/>
          <w:right w:w="28" w:type="dxa"/>
        </w:tblCellMar>
      </w:tblPr>
      <w:tblGrid>
        <w:gridCol w:w="2461"/>
        <w:gridCol w:w="146"/>
        <w:gridCol w:w="272"/>
        <w:gridCol w:w="621"/>
        <w:gridCol w:w="214"/>
        <w:gridCol w:w="188"/>
        <w:gridCol w:w="272"/>
        <w:gridCol w:w="621"/>
        <w:gridCol w:w="166"/>
        <w:gridCol w:w="146"/>
        <w:gridCol w:w="221"/>
        <w:gridCol w:w="331"/>
        <w:gridCol w:w="153"/>
        <w:gridCol w:w="153"/>
        <w:gridCol w:w="153"/>
        <w:gridCol w:w="490"/>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we had no unrecognized tax benefits that would impact our effective tax rate if recognized.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critical accounting estimates are described in our Annual Report on Form 10</w:t>
        <w:noBreakHyphen/>
        <w:t>K for the year ended December 31, 2025. There were no material changes to those critical accounting estimates during the three months ended June 30, 2026.</w:t>
      </w:r>
    </w:p>
    <w:p>
      <w:pPr>
        <w:pStyle w:val="TextBody"/>
        <w:bidi w:val="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does not consider the potentially dilutive impact of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impairment and restructuring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interest expense or other income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income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audit, legal, incremental accounting and other expenses tied to M&amp;A or the Business Combination;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companies, including companies in our own industry, may calculate Adjusted EBITDA differently from the way we do, limiting its usefulness as a comparative measure.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Adjusted EBITDA Analysis</w:t>
      </w:r>
    </w:p>
    <w:p>
      <w:pPr>
        <w:pStyle w:val="TextBody"/>
        <w:bidi w:val="0"/>
        <w:jc w:val="both"/>
        <w:rPr/>
      </w:pPr>
      <w:r>
        <w:rPr/>
        <w:t> </w:t>
      </w:r>
    </w:p>
    <w:tbl>
      <w:tblPr>
        <w:tblW w:w="7099" w:type="dxa"/>
        <w:jc w:val="left"/>
        <w:tblInd w:w="0" w:type="dxa"/>
        <w:tblLayout w:type="fixed"/>
        <w:tblCellMar>
          <w:top w:w="28" w:type="dxa"/>
          <w:left w:w="28" w:type="dxa"/>
          <w:bottom w:w="28" w:type="dxa"/>
          <w:right w:w="28" w:type="dxa"/>
        </w:tblCellMar>
      </w:tblPr>
      <w:tblGrid>
        <w:gridCol w:w="2146"/>
        <w:gridCol w:w="146"/>
        <w:gridCol w:w="231"/>
        <w:gridCol w:w="692"/>
        <w:gridCol w:w="182"/>
        <w:gridCol w:w="160"/>
        <w:gridCol w:w="231"/>
        <w:gridCol w:w="692"/>
        <w:gridCol w:w="166"/>
        <w:gridCol w:w="146"/>
        <w:gridCol w:w="211"/>
        <w:gridCol w:w="631"/>
        <w:gridCol w:w="166"/>
        <w:gridCol w:w="146"/>
        <w:gridCol w:w="146"/>
        <w:gridCol w:w="631"/>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Adjusted EBITDA decrease is primarily attributable to increased general and administrative expenses.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Income/(Loss) to Adjusted EBITDA Reconciliation</w:t>
      </w:r>
    </w:p>
    <w:p>
      <w:pPr>
        <w:pStyle w:val="TextBody"/>
        <w:bidi w:val="0"/>
        <w:jc w:val="both"/>
        <w:rPr/>
      </w:pPr>
      <w:r>
        <w:rPr/>
        <w:t> </w:t>
      </w:r>
    </w:p>
    <w:tbl>
      <w:tblPr>
        <w:tblW w:w="9922" w:type="dxa"/>
        <w:jc w:val="left"/>
        <w:tblInd w:w="0" w:type="dxa"/>
        <w:tblLayout w:type="fixed"/>
        <w:tblCellMar>
          <w:top w:w="28" w:type="dxa"/>
          <w:left w:w="28" w:type="dxa"/>
          <w:bottom w:w="28" w:type="dxa"/>
          <w:right w:w="28" w:type="dxa"/>
        </w:tblCellMar>
      </w:tblPr>
      <w:tblGrid>
        <w:gridCol w:w="4951"/>
        <w:gridCol w:w="146"/>
        <w:gridCol w:w="211"/>
        <w:gridCol w:w="736"/>
        <w:gridCol w:w="166"/>
        <w:gridCol w:w="146"/>
        <w:gridCol w:w="211"/>
        <w:gridCol w:w="736"/>
        <w:gridCol w:w="166"/>
        <w:gridCol w:w="146"/>
        <w:gridCol w:w="211"/>
        <w:gridCol w:w="631"/>
        <w:gridCol w:w="166"/>
        <w:gridCol w:w="146"/>
        <w:gridCol w:w="146"/>
        <w:gridCol w:w="631"/>
        <w:gridCol w:w="376"/>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Transaction related expenses consist of:</w:t>
      </w:r>
    </w:p>
    <w:p>
      <w:pPr>
        <w:pStyle w:val="TextBody"/>
        <w:bidi w:val="0"/>
        <w:jc w:val="both"/>
        <w:rPr/>
      </w:pPr>
      <w:r>
        <w:rPr/>
        <w:t> </w:t>
      </w:r>
    </w:p>
    <w:tbl>
      <w:tblPr>
        <w:tblW w:w="7546" w:type="dxa"/>
        <w:jc w:val="left"/>
        <w:tblInd w:w="0" w:type="dxa"/>
        <w:tblLayout w:type="fixed"/>
        <w:tblCellMar>
          <w:top w:w="28" w:type="dxa"/>
          <w:left w:w="28" w:type="dxa"/>
          <w:bottom w:w="28" w:type="dxa"/>
          <w:right w:w="28" w:type="dxa"/>
        </w:tblCellMar>
      </w:tblPr>
      <w:tblGrid>
        <w:gridCol w:w="2716"/>
        <w:gridCol w:w="146"/>
        <w:gridCol w:w="249"/>
        <w:gridCol w:w="674"/>
        <w:gridCol w:w="172"/>
        <w:gridCol w:w="172"/>
        <w:gridCol w:w="249"/>
        <w:gridCol w:w="674"/>
        <w:gridCol w:w="146"/>
        <w:gridCol w:w="146"/>
        <w:gridCol w:w="211"/>
        <w:gridCol w:w="631"/>
        <w:gridCol w:w="166"/>
        <w:gridCol w:w="146"/>
        <w:gridCol w:w="146"/>
        <w:gridCol w:w="526"/>
        <w:gridCol w:w="376"/>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audit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Incremental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study and M&amp;A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had cash of approximately $0.6 million. For the six months ended June 30, 2026, while we generated revenue of approximately $5.0 million, we used approximately $9.4 million in cash from operating activities and had a net loss of approximately $13.4 million. We have incurred recurring net losses from operations and negative cash flows from operating activities since inception. As of June 30, 2026, we had a working capital deficit of approximately $16.2 million and an accumulated deficit of approximately $114.2 million. These factors raise substantial doubt regarding the Company’s ability to continue as a going concern within one year of the date these financial statements were issued.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Parabolic will continue as a going concern, which contemplates the realization of assets and satisfaction of liabilities in the normal course of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plans and consider other means of creating value for our stockholders. See also </w:t>
      </w:r>
      <w:r>
        <w:rPr>
          <w:rFonts w:ascii="Times New Roman" w:hAnsi="Times New Roman"/>
          <w:i/>
          <w:color w:val="000000"/>
          <w:sz w:val="20"/>
        </w:rPr>
        <w:t xml:space="preserve">Note 2 – Going Concern </w:t>
      </w:r>
      <w:r>
        <w:rPr>
          <w:rFonts w:ascii="Times New Roman" w:hAnsi="Times New Roman"/>
          <w:color w:val="000000"/>
          <w:sz w:val="20"/>
        </w:rPr>
        <w:t>to our condensed consolidated financial statements in this Report.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Capital structure and sources of liquidity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We may seek to raise additional capital through a combination of equity and debt financings, including continued use of our ATM facility and our SEPA to support our operations and expansion through acquisition. See </w:t>
      </w:r>
      <w:r>
        <w:rPr>
          <w:rFonts w:ascii="Times New Roman" w:hAnsi="Times New Roman"/>
          <w:i/>
          <w:color w:val="000000"/>
          <w:sz w:val="20"/>
        </w:rPr>
        <w:t>Note 11 – Debt</w:t>
      </w:r>
      <w:r>
        <w:rPr>
          <w:rFonts w:ascii="Times New Roman" w:hAnsi="Times New Roman"/>
          <w:color w:val="000000"/>
          <w:sz w:val="20"/>
        </w:rPr>
        <w:t xml:space="preserve"> and </w:t>
      </w:r>
      <w:r>
        <w:rPr>
          <w:rFonts w:ascii="Times New Roman" w:hAnsi="Times New Roman"/>
          <w:i/>
          <w:color w:val="000000"/>
          <w:sz w:val="20"/>
        </w:rPr>
        <w:t>Note 14 – Equity</w:t>
      </w:r>
      <w:r>
        <w:rPr>
          <w:rFonts w:ascii="Times New Roman" w:hAnsi="Times New Roman"/>
          <w:color w:val="000000"/>
          <w:sz w:val="20"/>
        </w:rPr>
        <w:t xml:space="preserve"> to our condensed consolidated financial statements in this Report for further discussion of these arrangements</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hAnsi="Times New Roman"/>
          <w:i/>
          <w:color w:val="000000"/>
          <w:sz w:val="20"/>
        </w:rPr>
        <w:t>Risk Factors</w:t>
      </w:r>
      <w:r>
        <w:rPr>
          <w:rFonts w:ascii="Times New Roman" w:hAnsi="Times New Roman"/>
          <w:color w:val="000000"/>
          <w:sz w:val="20"/>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certain information related to our cash flows for the six months ended June 30, 2026 and 2025. See also our unaudited condensed consolidated statements of cash flows in this Report:</w:t>
      </w:r>
    </w:p>
    <w:p>
      <w:pPr>
        <w:pStyle w:val="TextBody"/>
        <w:bidi w:val="0"/>
        <w:jc w:val="both"/>
        <w:rPr/>
      </w:pPr>
      <w:r>
        <w:rPr/>
        <w:t> </w:t>
      </w:r>
    </w:p>
    <w:tbl>
      <w:tblPr>
        <w:tblW w:w="8377" w:type="dxa"/>
        <w:jc w:val="left"/>
        <w:tblInd w:w="0" w:type="dxa"/>
        <w:tblLayout w:type="fixed"/>
        <w:tblCellMar>
          <w:top w:w="28" w:type="dxa"/>
          <w:left w:w="28" w:type="dxa"/>
          <w:bottom w:w="28" w:type="dxa"/>
          <w:right w:w="28" w:type="dxa"/>
        </w:tblCellMar>
      </w:tblPr>
      <w:tblGrid>
        <w:gridCol w:w="3466"/>
        <w:gridCol w:w="146"/>
        <w:gridCol w:w="211"/>
        <w:gridCol w:w="736"/>
        <w:gridCol w:w="166"/>
        <w:gridCol w:w="146"/>
        <w:gridCol w:w="211"/>
        <w:gridCol w:w="736"/>
        <w:gridCol w:w="166"/>
        <w:gridCol w:w="146"/>
        <w:gridCol w:w="211"/>
        <w:gridCol w:w="631"/>
        <w:gridCol w:w="166"/>
        <w:gridCol w:w="146"/>
        <w:gridCol w:w="146"/>
        <w:gridCol w:w="571"/>
        <w:gridCol w:w="37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six months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cash used in operating activities was primarily driven by the net loss, and by working capital adjustments totaling $1.4 million (unfavorable), partially offset by adjustments for non-cash items totaling $5.4 million (favorable). The non-cash items primarily consisted of addbacks for stock-based compensation expense of approximately $2.5 million and depreciation and amortization of approximately $0.6 million, the net impact of debt-related transactions (loss on issuance of debt and non-cash interest expense) totaling $1.7 million favorable, and the net impact of change in fair value adjustments (including debt under the fair value option, warrants and derivatives) totaling $0.7 million favorable.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primarily driven by proceeds from issuance of shares under the SEPA totaling approximately $5.5 million, proceeds from issuances of debt (both convertible and term) totaling approximately $3.7 million, proceeds from issuances of shares and warrants totaling $2.7 million, partially offset by repayments of debt totaling $2.2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six months ended June 30, 2025</w:t>
      </w:r>
    </w:p>
    <w:p>
      <w:pPr>
        <w:pStyle w:val="TextBody"/>
        <w:bidi w:val="0"/>
        <w:jc w:val="both"/>
        <w:rPr>
          <w:rFonts w:ascii="Times New Roman" w:hAnsi="Times New Roman"/>
          <w:color w:val="000000"/>
          <w:sz w:val="20"/>
        </w:rPr>
      </w:pPr>
      <w:r>
        <w:rPr>
          <w:rFonts w:ascii="Times New Roman" w:hAnsi="Times New Roman"/>
          <w:color w:val="000000"/>
          <w:sz w:val="20"/>
        </w:rPr>
        <w:t>Net cash used in operating activities was approximately $9.0 million for the six months ended June 30, 2025. Net cash used in operating activities consists of net loss of approximately $11.4 million, offset by total adjustments of approximately $2.4 million for non-cash items and the effect of changes in working capital. Non-cash adjustments primarily included stock compensation expense of approximately $1.1 million, gain on extinguishment of liability of approximately $4.5 million, loss on issuances of debt of approximately $1.3 million, loss on extinguishment of term notes of approximately $1.8 million, non-cash interest expense of approximately $1.2 million, fair value adjustment of convertible promissory notes of approximately $0.2 million, fair value adjustment of term notes of approximately $0.3 million, consulting expenses paid via share issuance of approximately $0.2 million, depreciation and amortization of intangible assets of approximately $0.5 million and net of change in operating assets and liabilities of approximately $0.3 million.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investing activities was approximately $2.7 million for the six months ended June 30, 2025 and was related to the net cash paid in the acquisition of Vidello.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approximately $12.9 million for the six months ended June 30, 2025, and was primarily related to proceeds from convertible debt financing of approximately $5.3 million, net proceeds from the issuance of term notes of approximately $4.3 million, proceeds from issuance of shares under the SEPA agreement of approximately $13.6 million, repayment of term notes of approximately $5.9 million, partial repayment of convertible notes with a related party of approximately $0.9 million, repayment of Yorkville convertible notes of approximately $3.6 million, and payment of the GEM commitment fee promissory note of approximately $0.2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Debt Structure, Debt Maturity Profile, Contractual Obligations and Commitments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31"/>
        <w:gridCol w:w="146"/>
        <w:gridCol w:w="211"/>
        <w:gridCol w:w="676"/>
        <w:gridCol w:w="146"/>
        <w:gridCol w:w="146"/>
        <w:gridCol w:w="255"/>
        <w:gridCol w:w="690"/>
        <w:gridCol w:w="146"/>
        <w:gridCol w:w="146"/>
        <w:gridCol w:w="345"/>
        <w:gridCol w:w="1108"/>
        <w:gridCol w:w="146"/>
        <w:gridCol w:w="146"/>
        <w:gridCol w:w="264"/>
        <w:gridCol w:w="848"/>
        <w:gridCol w:w="183"/>
        <w:gridCol w:w="183"/>
        <w:gridCol w:w="264"/>
        <w:gridCol w:w="528"/>
        <w:gridCol w:w="197"/>
      </w:tblGrid>
      <w:tr>
        <w:trPr/>
        <w:tc>
          <w:tcPr>
            <w:tcW w:w="3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Total Principal and Accrued Interest due in:</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Total Principal and 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Less than 1 year</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1 - 3 Years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15.5%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Agile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Private Placement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1800 Diagonal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Boot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TVT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 commitments and financing requirements arising subsequent to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ConnectAndSell acquisition – Closing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ConnectAndSell acquisition – First Deferred Cash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ConnectAndSell acquisition – Second Deferred Cash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C&amp;S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Agile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UCAP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1800 Diagonal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1800 Diagonal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3i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Deferred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recognized revenue.</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an operating lease for office space. The lease term expires in October 2027. The lease liability balance as of June 30, 2026 represents the future minimum lease payments under non-cancellable leases as liabilities.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Contingent Items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Company has contingent obligations related to the ConnectAndSell acquisition, including earn-out payments of an undeterminable amount based on ConnectAndSell's revenue performance through July 2027, and a potential cash payment of up to approximately $5.9 million if stockholder approval for the related share issuance is not obtained by approximately October 30, 2026, payable within 30 days thereafter.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Parabolic had no off-balance sheet arrangements as of June 30, 2026.</w:t>
      </w:r>
    </w:p>
    <w:p>
      <w:pPr>
        <w:pStyle w:val="TextBody"/>
        <w:bidi w:val="0"/>
        <w:jc w:val="both"/>
        <w:rPr/>
      </w:pPr>
      <w:r>
        <w:rPr/>
        <w:t> </w:t>
      </w:r>
    </w:p>
    <w:p>
      <w:pPr>
        <w:pStyle w:val="TextBody"/>
        <w:bidi w:val="0"/>
        <w:jc w:val="left"/>
        <w:rPr>
          <w:rFonts w:ascii="Times New Roman" w:hAnsi="Times New Roman"/>
          <w:b/>
          <w:color w:val="000000"/>
          <w:sz w:val="20"/>
        </w:rPr>
      </w:pPr>
      <w:bookmarkStart w:id="10" w:name="item3_marketrisk"/>
      <w:bookmarkEnd w:id="10"/>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item is not applicable as we are a smaller reporting company. </w:t>
      </w:r>
    </w:p>
    <w:p>
      <w:pPr>
        <w:pStyle w:val="TextBody"/>
        <w:bidi w:val="0"/>
        <w:jc w:val="both"/>
        <w:rPr/>
      </w:pPr>
      <w:r>
        <w:rPr/>
        <w:t> </w:t>
      </w:r>
    </w:p>
    <w:p>
      <w:pPr>
        <w:pStyle w:val="TextBody"/>
        <w:bidi w:val="0"/>
        <w:jc w:val="left"/>
        <w:rPr>
          <w:rFonts w:ascii="Times New Roman" w:hAnsi="Times New Roman"/>
          <w:b/>
          <w:color w:val="000000"/>
          <w:sz w:val="20"/>
        </w:rPr>
      </w:pPr>
      <w:bookmarkStart w:id="11" w:name="item4_controls"/>
      <w:bookmarkEnd w:id="11"/>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under the supervision and with the participation of our management, including our Chief Executive Officer and Chief Financial Officer, we carried out an evaluation of the effectiveness of the design and operation of our disclosure controls and procedures (as defined in Rules 13a</w:t>
        <w:noBreakHyphen/>
        <w:t>15(e) and 15d</w:t>
        <w:noBreakHyphen/>
        <w:t>15(e) under the Securities Exchange Act of 1934, as amended) as of the end of the period covered by this Quarterly Report on Form 10</w:t>
        <w:noBreakHyphen/>
        <w:t>Q. Based upon that evaluation, our Chief Executive Officer and Chief Financial Officer concluded that our disclosure controls and procedures were not effective as of June 30, 2026, due to the previously disclosed material weaknesses in our internal control over financial reporting related to IT general controls, entity</w:t>
        <w:noBreakHyphen/>
        <w:t>level controls in accordance with the COSO Integrated Framework, and the period</w:t>
        <w:noBreakHyphen/>
        <w:t>end financial close and reporting process, as described in our Annual Report on Form 10</w:t>
        <w:noBreakHyphen/>
        <w:t>K for the year ended December 31, 2025 filed with the SEC on March 31, 2026 (the “2025 Form 10</w:t>
        <w:noBreakHyphen/>
        <w:t xml:space="preserve">K”).We remain committed to remediating the material weaknesses and improving our internal control over financial reporting.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March 31, 2026, we implemented a new enterprise resource planning (“ERP”) system. We believe the ERP implementation, along with related process enhancements and controls implemented in connection with the new system, is an important step in our remediation efforts and in strengthening our overall control environment. However, our remediation efforts are ongoing, and the material weaknesses will not be considered remediated until the applicable controls have operated for a sufficient period of time and management has concluded, through testing, that such controls are designed and operating effectively. As we continue our evaluation and improve our internal control over financial reporting, management may identify and take additional measures to address control deficiencies. We cannot provide assurance that we will be successful in remediating the material weaknesses in a timely manner.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required by Rule 13a</w:t>
        <w:noBreakHyphen/>
        <w:t>15(d) of the Exchange Act, our management, including our Chief Executive Officer and our Chief Financial Officer, evaluated whether any change in our internal control over financial reporting (as defined in Rules 13a</w:t>
        <w:noBreakHyphen/>
        <w:t>15(f) and 15d</w:t>
        <w:noBreakHyphen/>
        <w:t>15(f) under the Exchange Act) occurred during the quarter ended June 30, 2026 that has materially affected, or is reasonably likely to materially affect, our internal control over financial reporting. During the quarter ended March 31, 2026, we implemented a new ERP system, which resulted in changes to our information technology environment, business processes, and certain controls within our financial reporting processes. We have designed and implemented controls related to the new ERP system, including controls related to user access and segregation of duties, change management, and controls supporting transaction processing and period</w:t>
        <w:noBreakHyphen/>
        <w:t>end financial reporting. We believe these changes are expected to enhance our internal control environment and support our ongoing remediation efforts. Other than the foregoing, and our ongoing remediation activities related to the previously disclosed material weaknesses, there were no other changes in our internal control over financial reporting during the quarter ended June 30, 2026 that have materially affected, or are reasonably likely to materially affect, our internal control over financial reporting.</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b/>
          <w:color w:val="000000"/>
          <w:sz w:val="20"/>
        </w:rPr>
      </w:pPr>
      <w:bookmarkStart w:id="12" w:name="partii_otherinformation"/>
      <w:bookmarkEnd w:id="12"/>
      <w:r>
        <w:rPr>
          <w:rFonts w:ascii="Times New Roman" w:hAnsi="Times New Roman"/>
          <w:b/>
          <w:color w:val="000000"/>
          <w:sz w:val="20"/>
        </w:rPr>
        <w:t>PART II—OTHER INFORMATION</w:t>
      </w:r>
    </w:p>
    <w:p>
      <w:pPr>
        <w:pStyle w:val="TextBody"/>
        <w:bidi w:val="0"/>
        <w:jc w:val="left"/>
        <w:rPr>
          <w:rFonts w:ascii="Times New Roman" w:hAnsi="Times New Roman"/>
          <w:b/>
          <w:color w:val="000000"/>
          <w:sz w:val="20"/>
        </w:rPr>
      </w:pPr>
      <w:bookmarkStart w:id="13" w:name="part2_item1_legalproceedings"/>
      <w:bookmarkEnd w:id="13"/>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To the best of our knowledge,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jc w:val="both"/>
        <w:rPr/>
      </w:pPr>
      <w:r>
        <w:rPr/>
        <w:t> </w:t>
      </w:r>
    </w:p>
    <w:p>
      <w:pPr>
        <w:pStyle w:val="TextBody"/>
        <w:bidi w:val="0"/>
        <w:jc w:val="left"/>
        <w:rPr>
          <w:rFonts w:ascii="Times New Roman" w:hAnsi="Times New Roman"/>
          <w:b/>
          <w:color w:val="000000"/>
          <w:sz w:val="20"/>
        </w:rPr>
      </w:pPr>
      <w:bookmarkStart w:id="14" w:name="part2_item1a_riskfactors"/>
      <w:bookmarkEnd w:id="14"/>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smaller reporting company as defined by Rule 12b-2 of the Securities Exchange Act of 1934 and, as such, are not required to provide the information under this item. A description of risk factors can be found in our Annual Report on Form 10-K for the year ended December 31, 2025 as supplemented and updated by subsequent current reports on Form 8-K that we have filed or will file with the SEC. </w:t>
      </w:r>
    </w:p>
    <w:p>
      <w:pPr>
        <w:pStyle w:val="TextBody"/>
        <w:bidi w:val="0"/>
        <w:jc w:val="both"/>
        <w:rPr/>
      </w:pPr>
      <w:r>
        <w:rPr/>
        <w:t> </w:t>
      </w:r>
    </w:p>
    <w:p>
      <w:pPr>
        <w:pStyle w:val="TextBody"/>
        <w:bidi w:val="0"/>
        <w:jc w:val="left"/>
        <w:rPr>
          <w:rFonts w:ascii="Times New Roman" w:hAnsi="Times New Roman"/>
          <w:b/>
          <w:color w:val="000000"/>
          <w:sz w:val="20"/>
        </w:rPr>
      </w:pPr>
      <w:bookmarkStart w:id="15" w:name="part2_item2_unregisteredsales"/>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though their relationships with the Registrant, to information about the Registrant.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Shares of Class A Common Stock issued to 1800 Diagonal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May 5, 2026 and May 11, 2026, the Company issued an aggregate of 36,448 shares of Class A Common Stock pursuant to conversion notices received from 1800 Diagonal to convert an aggregate of approximately $142 thousand in notes the Company previously issued to them; the conversion prices ranged from $3.303 to $4.52 per share.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Shares of Class A Common Stock issued to Agile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the Company entered into multiple exchange agreements with Agile on substantially similar terms as the Agile Exchange Agreement pursuant to which the Company issued an aggregate of 274,145 shares of its Class A common stock at conversion prices per share ranging from $2.95 to $12.40 in exchange for a reduction of $1.2 million in the outstanding balance of the March Agile Note. Following these exchanges, the outstanding balance of the March Agile Note was fully extinguished.</w:t>
      </w:r>
    </w:p>
    <w:p>
      <w:pPr>
        <w:pStyle w:val="TextBody"/>
        <w:bidi w:val="0"/>
        <w:jc w:val="left"/>
        <w:rPr/>
      </w:pPr>
      <w:r>
        <w:rPr/>
        <w:t> </w:t>
      </w:r>
    </w:p>
    <w:p>
      <w:pPr>
        <w:pStyle w:val="TextBody"/>
        <w:bidi w:val="0"/>
        <w:jc w:val="left"/>
        <w:rPr>
          <w:rFonts w:ascii="Times New Roman" w:hAnsi="Times New Roman"/>
          <w:b/>
          <w:color w:val="000000"/>
          <w:sz w:val="20"/>
        </w:rPr>
      </w:pPr>
      <w:bookmarkStart w:id="16" w:name="part2_item3_defaults"/>
      <w:bookmarkEnd w:id="1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7" w:name="part2_item4_minesafety"/>
      <w:bookmarkEnd w:id="1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8" w:name="part2_item5_otherinfo"/>
      <w:bookmarkEnd w:id="18"/>
      <w:r>
        <w:rPr>
          <w:rFonts w:ascii="Times New Roman" w:hAnsi="Times New Roman"/>
          <w:b/>
          <w:color w:val="000000"/>
          <w:sz w:val="20"/>
        </w:rPr>
        <w:t>Item 5.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or terminated a “Rule 10b5-1 trading arrangement” or “non-Rule 10b5-1 trading arrangement,” as these terms are defined in Item 408(a) of Regulation 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the following did not occur during the period covered by this Report, we are reporting it here due to its significance to investors or potential investors. Effective on August 6, 2026, we began doing business under the trade name "Parabolic." This rebrand does not change our legal name, which remains Banzai International, Inc., and in connection with the rebrand, the trading symbols for our Class A common stock and redeemable warrants on The Nasdaq Capital Market changed from "BNZI" and "BNZIW" to "PARA" and "PARAW," respectively, effective on August 7, 2026.</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part2_item6_exhibits"/>
      <w:bookmarkStart w:id="20" w:name="exhibits"/>
      <w:bookmarkEnd w:id="19"/>
      <w:bookmarkEnd w:id="20"/>
      <w:r>
        <w:rPr>
          <w:rFonts w:ascii="Times New Roman" w:hAnsi="Times New Roman"/>
          <w:b/>
          <w:color w:val="000000"/>
          <w:sz w:val="20"/>
        </w:rPr>
        <w:t>Item 6. Exhibits.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documents are included as exhibits to this 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At the Market Offering Agreement, dated August 27, 2025 by and between Banzai and H.C. Wainwright &amp; Co., LLC (incorporated by reference to the Current Report on Form 8-K filed on August 28,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"rom441541_40"</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dated December 8, 2022, by and among Banzai, 7GC, First Merger Sub and Second Merger Sub (incorporated by reference to Annex A-1 to the Registration Statement on Form S-4 filed on August 31, 2023).</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"https://www.sec.gov/Archives/edgar/data/1826011/000119312523225201/d441541ds4.htm" \l "rom441541_40"</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Amendment to Agreement and Plan of Merger, dated August 4, 2023, by and among the Company and 7GC (incorporated by reference to Annex A-2 to the Registration Statement on Form S-4 filed on August 31, 2023).</w:t>
            </w:r>
            <w:r>
              <w:rPr>
                <w:rStyle w:val="InternetLink"/>
                <w:sz w:val="20"/>
                <w:u w:val="single"/>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December 10, 2024, by and among Banzai International, Inc., Banzai Reel Acquisition, Inc. ClearDoc, Inc., and certain stockholders of ClearDoc, Inc. (incorporated by reference to Exhibit 2.1 to the Current Report on Form 8-K filed on December 19,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Acquisition Agreement, dated December 19, 2024, by and among Banzai International, Inc., Vidello Limited, and the Shareholders of Vidello Limited (incorporated by reference to Exhibit 2.1 to the Current Report on Form 8-K filed on December 20,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and Plan of Merger, dated January 22, 2025 by and between Banzai International, Inc. and Act-On Software, Inc. (incorporated by reference to the Current Report on Form 8-K filed on January 23,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Asset Purchase Agreement, dated as of July 2, 2026, by and between Banzai International, Inc. and ConnectAndSell, Inc. (incorporated by reference to Exhibit 2.1 to the Current Report on Form 8-K filed on July 7, 2026).</w:t>
              </w:r>
            </w:hyperlink>
          </w:p>
        </w:tc>
      </w:tr>
      <w:tr>
        <w:trPr/>
        <w:tc>
          <w:tcPr>
            <w:tcW w:w="8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Second Amended and Restated Certificate of Incorporation of the Company, dated December 14, 2023. (incorporated by reference to Exhibit 3.1 to the Current Report on Form 8-K filed on December 20, 2023).</w:t>
              </w:r>
            </w:hyperlink>
            <w:hyperlink r:id="rId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Second Amended and Restated Bylaws of the Company, dated December 14, 2023 (incorporated by reference to Exhibit 3.2 to the Current Report on Form 8-K filed on December 20, 2023).</w:t>
              </w:r>
            </w:hyperlink>
            <w:hyperlink r:id="rId10">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Third Amended and Restated Bylaws of the Company, dated March 3, 2025 (incorporated by reference to Exhibit 3.2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to Second Amended and Restated Certificate of Incorporation of the Company, dated September 11, 2024. (incorporated by reference to Exhibit 3.1 to the Current Report on Form 8-K filed on September 16,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to Second Amended and Restated Certificate of Incorporation of the Company, dated March 3, 2025. (incorporated by reference to Exhibit 3.1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Amendment (2025 Stock Split) to Certificate of Incorporation of the Company, dated June 24, 2025. (incorporated by reference to Exhibit 3.1 to the Current Report on Form 8-K filed on June 27,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Amendment to Second Amended and Restated Certificate of Incorporation of the Company (incorporated by reference to Exhibit 3.1 to the Current Report on Form 8-K filed on April 28,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Specimen Class A Common Stock Certificate of the Company (incorporated by reference to Exhibit 4.1 to the Current Report on Form 8-K filed on December 20, 2023).</w:t>
              </w:r>
            </w:hyperlink>
            <w:hyperlink r:id="rId1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Specimen Class B Common Stock Certificate of the Company (incorporated by reference to Exhibit 4.2 to the Current Report on Form 8-K filed on December 20, 2023).</w:t>
              </w:r>
            </w:hyperlink>
            <w:hyperlink r:id="rId1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Specimen Warrant Certificate of the Company (incorporated by reference to Exhibit 4.3 to the Current Report on Form 8-K filed on December 20, 2023).</w:t>
              </w:r>
            </w:hyperlink>
            <w:hyperlink r:id="rId21">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Warrant Agreement, dated December 22, 2020, by and between 7GC and Continental Stock Transfer &amp; Trust Company, as warrant agent (incorporated by reference to Exhibit 4.1 to the Current Report on Form 8-K filed by 7GC on December 28, 2020).</w:t>
              </w:r>
            </w:hyperlink>
            <w:hyperlink r:id="rId23">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Amended and Restated Convertible Promissory Note, by and among Banzai and CP BF Lending, LLC (incorporated by reference to Exhibit 4.7 to the Registration Statement on Form S-4 filed by 7GC on August 30, 2023).</w:t>
              </w:r>
            </w:hyperlink>
            <w:hyperlink r:id="rId25">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Subordinated Promissory Note, dated December 13, 2023, issued by the Company to Alco Investment Company (incorporated by reference to Exhibit 4.5 to the Current Report on Form 8-K filed on December 20, 2023).</w:t>
              </w:r>
            </w:hyperlink>
            <w:hyperlink r:id="rId2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Warrant to Purchase Shares of Common Stock of Banzai International, Inc., dated December 15, 2023, issued by the Company to GEM Yield Bahamas Limited (incorporated by reference to Exhibit 4.7 to the Current Report on Form 8-K filed on December 20, 2023).</w:t>
              </w:r>
            </w:hyperlink>
            <w:hyperlink r:id="rId2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Promissory Note, dated as of December 14, 2023, issued by Banzai International, Inc. to YA II PN, LTD (incorporated by reference to Exhibit 10.2 to the Current Report on Form 8-K filed on December 18, 2023).</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9316"/>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6" w:type="dxa"/>
            <w:tcBorders/>
            <w:vAlign w:val="center"/>
          </w:tcPr>
          <w:p>
            <w:pPr>
              <w:pStyle w:val="TableContents"/>
              <w:bidi w:val="0"/>
              <w:spacing w:before="0" w:after="283"/>
              <w:jc w:val="left"/>
              <w:rPr>
                <w:sz w:val="4"/>
                <w:szCs w:val="4"/>
              </w:rPr>
            </w:pPr>
            <w:r>
              <w:rPr>
                <w:sz w:val="4"/>
                <w:szCs w:val="4"/>
              </w:rPr>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Promissory Note, dated as of February 5, 2024, issued by Banzai International, Inc. to YA II PN, LTD (incorporated by reference to Exhibit 4.11 to the Registration Statement on Form S-1 filed on February 5, 2024).</w:t>
              </w:r>
            </w:hyperlink>
            <w:hyperlink r:id="rId32">
              <w:r>
                <w:rPr>
                  <w:rStyle w:val="InternetLink"/>
                  <w:rFonts w:ascii="Times New Roman" w:hAnsi="Times New Roman"/>
                  <w:color w:val="0000FF"/>
                  <w:sz w:val="20"/>
                </w:rPr>
                <w:t xml:space="preserve"> </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Promissory Note Agreement, dated as of March 26, 2024, issued by Banzai International, Inc. to YA II PN, LTD (incorporated by reference to Exhibit 4.10 to the Annual Report on Form 10-K filed on April 15,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Certificate of Designation of Series FE Preferred Stock (incorporated by reference to the 8-K filed on December 19, 2024).</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Senior Secured Convertible Note (incorporated by reference to the Current Report on Form 8-K filed on July 3,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Warrant (incorporated by reference to the Current Report on Form 8-K filed on July 3,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Additional Note (incorporated by reference to Exhibit 4.3 to the Current Report on Form 8-K filed on August 22,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Additional Warrant (incorporated by reference to Exhibit 4.4 to the Current Report on Form 8-k filed on August 22,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Senior Secured Convertible Note (incorporated by reference to Exhibit 4.3 to the Current Report on Form 8-K filed on February 13,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Warrant To Purchase Common Stock (incorporated by reference to Exhibit 4.4 to the Current Report on Form 8-K filed on February 13,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Pre-Funded Warrant (incorporated by reference to Exhibit 4.1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Employee Indebtedness Note (incorporated by reference to Exhibit 4.2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Exchange Agreement (incorporated by reference to Exhibit 10.3 to the Current Report on Form 8-K filed on May 5,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Side Letter to Loan Agreement with CP BF Lending, LLC, dated May 15, 2026 (incorporated by reference to Exhibit 10.7 to the Current Report on Form 8-K/A filed on May 18,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 of Registration Rights Agreement (incorporated by reference to Exhibit 10.1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Form of Assignment and Bill of Sale (incorporated by reference to Exhibit 10.2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Form of Voting and Support Agreement (incorporated by reference to Exhibit 10.3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Form of Reverse Services Agreement (incorporated by reference to Exhibit 10.4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Subordinated Business Loan and Security Agreement, dated July 1, 2026, by and among Agile Capital Funding, LLC, as Collateral Agent, Agile Lending, LLC, as Lead Lender, Banzai International, Inc., and the other Borrowers party thereto (incorporated by reference to Exhibit 10.5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Subordinated Secured Promissory Note, dated July 1, 2026, by Banzai International, Inc. and the other Borrowers in favor of Agile Lending, LLC (incorporated by reference to Exhibit 10.6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 or arrangement.</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schedules and exhibits to this agreement have been omitted pursuant to Item 601(b)(2) of Regulation S-K. A copy of any omitted schedule and/or exhibit will be furnished to the SEC upon request.</w:t>
            </w:r>
          </w:p>
        </w:tc>
      </w:tr>
    </w:tbl>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
        <w:gridCol w:w="146"/>
        <w:gridCol w:w="9643"/>
      </w:tblGrid>
      <w:tr>
        <w:trPr/>
        <w:tc>
          <w:tcPr>
            <w:tcW w:w="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3" w:type="dxa"/>
            <w:tcBorders/>
            <w:vAlign w:val="center"/>
          </w:tcPr>
          <w:p>
            <w:pPr>
              <w:pStyle w:val="TableContents"/>
              <w:bidi w:val="0"/>
              <w:spacing w:before="0" w:after="283"/>
              <w:jc w:val="left"/>
              <w:rPr>
                <w:sz w:val="4"/>
                <w:szCs w:val="4"/>
              </w:rPr>
            </w:pPr>
            <w:r>
              <w:rPr>
                <w:sz w:val="4"/>
                <w:szCs w:val="4"/>
              </w:rPr>
            </w:r>
          </w:p>
        </w:tc>
      </w:tr>
      <w:tr>
        <w:trPr/>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XBRL Instance Document and Cover Page Interactive Data File do not appear in the Interactive Data File because their XBRL tags are embedded within the Inline XBRL document.</w:t>
            </w:r>
          </w:p>
        </w:tc>
      </w:tr>
      <w:tr>
        <w:trPr/>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Submitted electronically herewith.</w:t>
            </w:r>
          </w:p>
        </w:tc>
      </w:tr>
    </w:tbl>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Securities Exchange Act of 1934, the registrant has duly caused this report to be signed on its behalf by the undersigned, thereunto duly authorized, on August 14, 2026.</w:t>
      </w:r>
    </w:p>
    <w:p>
      <w:pPr>
        <w:pStyle w:val="TextBody"/>
        <w:bidi w:val="0"/>
        <w:jc w:val="left"/>
        <w:rPr/>
      </w:pPr>
      <w:r>
        <w:rPr/>
        <w:t> </w:t>
      </w:r>
    </w:p>
    <w:tbl>
      <w:tblPr>
        <w:tblW w:w="5172" w:type="dxa"/>
        <w:jc w:val="left"/>
        <w:tblInd w:w="0" w:type="dxa"/>
        <w:tblLayout w:type="fixed"/>
        <w:tblCellMar>
          <w:top w:w="28" w:type="dxa"/>
          <w:left w:w="28" w:type="dxa"/>
          <w:bottom w:w="28" w:type="dxa"/>
          <w:right w:w="28" w:type="dxa"/>
        </w:tblCellMar>
      </w:tblPr>
      <w:tblGrid>
        <w:gridCol w:w="1951"/>
        <w:gridCol w:w="146"/>
        <w:gridCol w:w="492"/>
        <w:gridCol w:w="2583"/>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BANZAI INTERNATIONAL,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bookmarkStart w:id="22" w:name="para-ex31_1.htm"/>
      <w:bookmarkStart w:id="23" w:name="kspara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Davy,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fiscal quarter ended June 30, 2026 of Banzai International,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/s/ 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para-ex31_2.htm"/>
      <w:bookmarkStart w:id="25" w:name="kspara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Dean Ditto,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fiscal quarter ended June 30, 2026 of Banzai International,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7919" w:type="dxa"/>
        <w:jc w:val="left"/>
        <w:tblInd w:w="0" w:type="dxa"/>
        <w:tblLayout w:type="fixed"/>
        <w:tblCellMar>
          <w:top w:w="28" w:type="dxa"/>
          <w:left w:w="28" w:type="dxa"/>
          <w:bottom w:w="28" w:type="dxa"/>
          <w:right w:w="28" w:type="dxa"/>
        </w:tblCellMar>
      </w:tblPr>
      <w:tblGrid>
        <w:gridCol w:w="1951"/>
        <w:gridCol w:w="146"/>
        <w:gridCol w:w="406"/>
        <w:gridCol w:w="5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para-ex32_1.htm"/>
      <w:bookmarkStart w:id="27" w:name="kspara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Banzai International, Inc. (the "Company") for the fiscal quarter ended June 30, 2026 as filed with the Securities and Exchange Commission on or about the date hereof (the “Report”), I, Joseph Davy, Chief Executive Officer of the Company, certify,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para-ex32_2.htm"/>
      <w:bookmarkStart w:id="29" w:name="kspara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Banzai International, Inc. (the "Company") for the fiscal quarter ended June 30, 2026, as filed with the Securities and Exchange Commission on or about the date hereof (the “Report”), I, Dean Ditto, Chief Financial Officer of the Company, certify,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919" w:type="dxa"/>
        <w:jc w:val="left"/>
        <w:tblInd w:w="0" w:type="dxa"/>
        <w:tblLayout w:type="fixed"/>
        <w:tblCellMar>
          <w:top w:w="28" w:type="dxa"/>
          <w:left w:w="28" w:type="dxa"/>
          <w:bottom w:w="28" w:type="dxa"/>
          <w:right w:w="28" w:type="dxa"/>
        </w:tblCellMar>
      </w:tblPr>
      <w:tblGrid>
        <w:gridCol w:w="1951"/>
        <w:gridCol w:w="146"/>
        <w:gridCol w:w="406"/>
        <w:gridCol w:w="5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(Principal Financial Officer and Principal Accounting Officer)</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149315225012412/ex1-1.htm" TargetMode="External"/><Relationship Id="rId3" Type="http://schemas.openxmlformats.org/officeDocument/2006/relationships/hyperlink" Target="https://www.sec.gov/Archives/edgar/data/1826011/000149315224049374/ex2-1.htm" TargetMode="External"/><Relationship Id="rId4" Type="http://schemas.openxmlformats.org/officeDocument/2006/relationships/hyperlink" Target="https://www.sec.gov/Archives/edgar/data/1826011/000149315224050891/ex2-1.htm" TargetMode="External"/><Relationship Id="rId5" Type="http://schemas.openxmlformats.org/officeDocument/2006/relationships/hyperlink" Target="https://www.sec.gov/Archives/edgar/data/1826011/000149315225003319/ex2-1.htm" TargetMode="External"/><Relationship Id="rId6" Type="http://schemas.openxmlformats.org/officeDocument/2006/relationships/hyperlink" Target="https://www.sec.gov/Archives/edgar/data/1826011/000119312526297663/bnzi-ex2_1.htm" TargetMode="External"/><Relationship Id="rId7" Type="http://schemas.openxmlformats.org/officeDocument/2006/relationships/hyperlink" Target="https://www.sec.gov/Archives/edgar/data/1826011/000119312523300033/d449527dex31.htm" TargetMode="External"/><Relationship Id="rId8" Type="http://schemas.openxmlformats.org/officeDocument/2006/relationships/hyperlink" Target="https://www.sec.gov/Archives/edgar/data/1826011/000119312523300033/d449527dex31.htm" TargetMode="External"/><Relationship Id="rId9" Type="http://schemas.openxmlformats.org/officeDocument/2006/relationships/hyperlink" Target="https://www.sec.gov/Archives/edgar/data/1826011/000119312523300033/d449527dex32.htm" TargetMode="External"/><Relationship Id="rId10" Type="http://schemas.openxmlformats.org/officeDocument/2006/relationships/hyperlink" Target="https://www.sec.gov/Archives/edgar/data/1826011/000119312523300033/d449527dex32.htm" TargetMode="External"/><Relationship Id="rId11" Type="http://schemas.openxmlformats.org/officeDocument/2006/relationships/hyperlink" Target="https://www.sec.gov/Archives/edgar/data/1826011/000149315225009079/ex3-2.htm" TargetMode="External"/><Relationship Id="rId12" Type="http://schemas.openxmlformats.org/officeDocument/2006/relationships/hyperlink" Target="https://www.sec.gov/Archives/edgar/data/1826011/000149315224036413/ex3-1.htm" TargetMode="External"/><Relationship Id="rId13" Type="http://schemas.openxmlformats.org/officeDocument/2006/relationships/hyperlink" Target="https://www.sec.gov/Archives/edgar/data/1826011/000149315225009079/ex3-1.htm" TargetMode="External"/><Relationship Id="rId14" Type="http://schemas.openxmlformats.org/officeDocument/2006/relationships/hyperlink" Target="https://www.sec.gov/Archives/edgar/data/1826011/000164117225016949/ex3-1.htm" TargetMode="External"/><Relationship Id="rId15" Type="http://schemas.openxmlformats.org/officeDocument/2006/relationships/hyperlink" Target="https://www.sec.gov/Archives/edgar/data/1826011/000119312526187087/bnzi-ex3_1.htm" TargetMode="External"/><Relationship Id="rId16" Type="http://schemas.openxmlformats.org/officeDocument/2006/relationships/hyperlink" Target="https://www.sec.gov/Archives/edgar/data/1826011/000119312523300033/d449527dex41.htm" TargetMode="External"/><Relationship Id="rId17" Type="http://schemas.openxmlformats.org/officeDocument/2006/relationships/hyperlink" Target="https://www.sec.gov/Archives/edgar/data/1826011/000119312523300033/d449527dex41.htm" TargetMode="External"/><Relationship Id="rId18" Type="http://schemas.openxmlformats.org/officeDocument/2006/relationships/hyperlink" Target="https://www.sec.gov/Archives/edgar/data/1826011/000119312523300033/d449527dex42.htm" TargetMode="External"/><Relationship Id="rId19" Type="http://schemas.openxmlformats.org/officeDocument/2006/relationships/hyperlink" Target="https://www.sec.gov/Archives/edgar/data/1826011/000119312523300033/d449527dex42.htm" TargetMode="External"/><Relationship Id="rId20" Type="http://schemas.openxmlformats.org/officeDocument/2006/relationships/hyperlink" Target="https://www.sec.gov/Archives/edgar/data/1826011/000119312523300033/d449527dex43.htm" TargetMode="External"/><Relationship Id="rId21" Type="http://schemas.openxmlformats.org/officeDocument/2006/relationships/hyperlink" Target="https://www.sec.gov/Archives/edgar/data/1826011/000119312523300033/d449527dex43.htm" TargetMode="External"/><Relationship Id="rId22" Type="http://schemas.openxmlformats.org/officeDocument/2006/relationships/hyperlink" Target="https://www.sec.gov/Archives/edgar/data/1826011/000121390020044825/ea132294ex4-1_7gcholdings.htm" TargetMode="External"/><Relationship Id="rId23" Type="http://schemas.openxmlformats.org/officeDocument/2006/relationships/hyperlink" Target="https://www.sec.gov/Archives/edgar/data/1826011/000121390020044825/ea132294ex4-1_7gcholdings.htm" TargetMode="External"/><Relationship Id="rId24" Type="http://schemas.openxmlformats.org/officeDocument/2006/relationships/hyperlink" Target="https://www.sec.gov/Archives/edgar/data/1826011/000119312523225201/d441541dex47.htm" TargetMode="External"/><Relationship Id="rId25" Type="http://schemas.openxmlformats.org/officeDocument/2006/relationships/hyperlink" Target="https://www.sec.gov/Archives/edgar/data/1826011/000119312523225201/d441541dex47.htm" TargetMode="External"/><Relationship Id="rId26" Type="http://schemas.openxmlformats.org/officeDocument/2006/relationships/hyperlink" Target="https://www.sec.gov/Archives/edgar/data/1826011/000119312523300033/d449527dex45.htm" TargetMode="External"/><Relationship Id="rId27" Type="http://schemas.openxmlformats.org/officeDocument/2006/relationships/hyperlink" Target="https://www.sec.gov/Archives/edgar/data/1826011/000119312523300033/d449527dex45.htm" TargetMode="External"/><Relationship Id="rId28" Type="http://schemas.openxmlformats.org/officeDocument/2006/relationships/hyperlink" Target="https://www.sec.gov/Archives/edgar/data/1826011/000119312523300033/d449527dex47.htm" TargetMode="External"/><Relationship Id="rId29" Type="http://schemas.openxmlformats.org/officeDocument/2006/relationships/hyperlink" Target="https://www.sec.gov/Archives/edgar/data/1826011/000119312523300033/d449527dex47.htm" TargetMode="External"/><Relationship Id="rId30" Type="http://schemas.openxmlformats.org/officeDocument/2006/relationships/hyperlink" Target="https://www.sec.gov/Archives/edgar/data/1826011/000119312523297160/d564833dex102.htm" TargetMode="External"/><Relationship Id="rId31" Type="http://schemas.openxmlformats.org/officeDocument/2006/relationships/hyperlink" Target="https://www.sec.gov/Archives/edgar/data/1826011/000119312524023808/d567008dex411.htm" TargetMode="External"/><Relationship Id="rId32" Type="http://schemas.openxmlformats.org/officeDocument/2006/relationships/hyperlink" Target="https://www.sec.gov/Archives/edgar/data/1826011/000119312524023808/d567008dex411.htm" TargetMode="External"/><Relationship Id="rId33" Type="http://schemas.openxmlformats.org/officeDocument/2006/relationships/hyperlink" Target="https://www.sec.gov/Archives/edgar/data/1826011/000095017025054303/bnzi-ex4_10.htm" TargetMode="External"/><Relationship Id="rId34" Type="http://schemas.openxmlformats.org/officeDocument/2006/relationships/hyperlink" Target="https://www.sec.gov/Archives/edgar/data/1826011/000149315224050696/ex3-1.htm" TargetMode="External"/><Relationship Id="rId35" Type="http://schemas.openxmlformats.org/officeDocument/2006/relationships/hyperlink" Target="https://www.sec.gov/Archives/edgar/data/1826011/000164117225017861/ex4-1.htm" TargetMode="External"/><Relationship Id="rId36" Type="http://schemas.openxmlformats.org/officeDocument/2006/relationships/hyperlink" Target="https://www.sec.gov/Archives/edgar/data/1826011/000164117225017861/ex4-2.htm" TargetMode="External"/><Relationship Id="rId37" Type="http://schemas.openxmlformats.org/officeDocument/2006/relationships/hyperlink" Target="https://www.sec.gov/Archives/edgar/data/1826011/000149315225012268/ex4-3.htm" TargetMode="External"/><Relationship Id="rId38" Type="http://schemas.openxmlformats.org/officeDocument/2006/relationships/hyperlink" Target="https://www.sec.gov/Archives/edgar/data/1826011/000149315225012268/ex4-4.htm" TargetMode="External"/><Relationship Id="rId39" Type="http://schemas.openxmlformats.org/officeDocument/2006/relationships/hyperlink" Target="https://www.sec.gov/Archives/edgar/data/1826011/000149315226006807/ex4-3.htm" TargetMode="External"/><Relationship Id="rId40" Type="http://schemas.openxmlformats.org/officeDocument/2006/relationships/hyperlink" Target="https://www.sec.gov/Archives/edgar/data/1826011/000149315226006807/ex4-4.htm" TargetMode="External"/><Relationship Id="rId41" Type="http://schemas.openxmlformats.org/officeDocument/2006/relationships/hyperlink" Target="https://www.sec.gov/Archives/edgar/data/1826011/000119312526297663/bnzi-ex4_1.htm" TargetMode="External"/><Relationship Id="rId42" Type="http://schemas.openxmlformats.org/officeDocument/2006/relationships/hyperlink" Target="https://www.sec.gov/Archives/edgar/data/1826011/000119312526297663/bnzi-ex4_2.htm" TargetMode="External"/><Relationship Id="rId43" Type="http://schemas.openxmlformats.org/officeDocument/2006/relationships/hyperlink" Target="https://www.sec.gov/Archives/edgar/data/1826011/000119312526206397/bnzi-ex10_3.htm" TargetMode="External"/><Relationship Id="rId44" Type="http://schemas.openxmlformats.org/officeDocument/2006/relationships/hyperlink" Target="https://www.sec.gov/Archives/edgar/data/1826011/000119312526227353/bnzi-ex10_7.htm" TargetMode="External"/><Relationship Id="rId45" Type="http://schemas.openxmlformats.org/officeDocument/2006/relationships/hyperlink" Target="https://www.sec.gov/Archives/edgar/data/0001826011/000119312526297663/bnzi-ex10_1.htm" TargetMode="External"/><Relationship Id="rId46" Type="http://schemas.openxmlformats.org/officeDocument/2006/relationships/hyperlink" Target="https://www.sec.gov/Archives/edgar/data/1826011/000119312526297663/bnzi-ex10_2.htm" TargetMode="External"/><Relationship Id="rId47" Type="http://schemas.openxmlformats.org/officeDocument/2006/relationships/hyperlink" Target="https://www.sec.gov/Archives/edgar/data/1826011/000119312526297663/bnzi-ex10_3.htm" TargetMode="External"/><Relationship Id="rId48" Type="http://schemas.openxmlformats.org/officeDocument/2006/relationships/hyperlink" Target="https://www.sec.gov/Archives/edgar/data/1826011/000119312526297663/bnzi-ex10_4.htm" TargetMode="External"/><Relationship Id="rId49" Type="http://schemas.openxmlformats.org/officeDocument/2006/relationships/hyperlink" Target="https://www.sec.gov/Archives/edgar/data/1826011/000119312526297663/bnzi-ex10_5.htm" TargetMode="External"/><Relationship Id="rId50" Type="http://schemas.openxmlformats.org/officeDocument/2006/relationships/hyperlink" Target="https://www.sec.gov/Archives/edgar/data/1826011/000119312526297663/bnzi-ex10_6.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40611</Words>
  <Characters>214592</Characters>
  <CharactersWithSpaces>257840</CharactersWithSpaces>
  <Paragraphs>10632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