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ind w:left="4440" w:right="4420" w:hanging="4432"/>
        <w:spacing w:after="0" w:line="326" w:lineRule="auto"/>
        <w:tabs>
          <w:tab w:leader="none" w:pos="472"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2025</w:t>
      </w:r>
    </w:p>
    <w:p>
      <w:pPr>
        <w:ind w:left="5520"/>
        <w:spacing w:after="0"/>
        <w:rPr>
          <w:rFonts w:ascii="MS PGothic" w:cs="MS PGothic" w:eastAsia="MS PGothic" w:hAnsi="MS PGothic"/>
          <w:sz w:val="12"/>
          <w:szCs w:val="12"/>
          <w:color w:val="auto"/>
          <w:highlight w:val="black"/>
        </w:rPr>
      </w:pPr>
      <w:r>
        <w:rPr>
          <w:rFonts w:ascii="Times New Roman" w:cs="Times New Roman" w:eastAsia="Times New Roman" w:hAnsi="Times New Roman"/>
          <w:sz w:val="13"/>
          <w:szCs w:val="13"/>
          <w:b w:val="1"/>
          <w:bCs w:val="1"/>
          <w:color w:val="auto"/>
        </w:rPr>
        <w:t>OR</w:t>
      </w:r>
    </w:p>
    <w:p>
      <w:pPr>
        <w:spacing w:after="0" w:line="26" w:lineRule="exact"/>
        <w:rPr>
          <w:sz w:val="24"/>
          <w:szCs w:val="24"/>
          <w:color w:val="auto"/>
        </w:rPr>
      </w:pPr>
    </w:p>
    <w:p>
      <w:pPr>
        <w:spacing w:after="0"/>
        <w:tabs>
          <w:tab w:leader="none" w:pos="440" w:val="left"/>
          <w:tab w:leader="none" w:pos="9920" w:val="left"/>
        </w:tabs>
        <w:rPr>
          <w:sz w:val="20"/>
          <w:szCs w:val="20"/>
          <w:color w:val="auto"/>
        </w:rPr>
      </w:pPr>
      <w:r>
        <w:rPr>
          <w:rFonts w:ascii="MS PGothic" w:cs="MS PGothic" w:eastAsia="MS PGothic" w:hAnsi="MS PGothic"/>
          <w:sz w:val="13"/>
          <w:szCs w:val="13"/>
          <w:color w:val="auto"/>
          <w:highlight w:val="black"/>
        </w:rPr>
        <w:t>☐</w:t>
      </w:r>
      <w:r>
        <w:rPr>
          <w:sz w:val="20"/>
          <w:szCs w:val="20"/>
          <w:color w:val="auto"/>
        </w:rPr>
        <w:tab/>
      </w: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001-39826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Banzai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p>
      <w:pPr>
        <w:spacing w:after="0" w:line="4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2020"/>
        <w:spacing w:after="0" w:line="229"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35"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1940"/>
        <w:spacing w:after="0"/>
        <w:rPr>
          <w:sz w:val="20"/>
          <w:szCs w:val="20"/>
          <w:color w:val="auto"/>
        </w:rPr>
      </w:pPr>
      <w:r>
        <w:rPr>
          <w:rFonts w:ascii="Times New Roman" w:cs="Times New Roman" w:eastAsia="Times New Roman" w:hAnsi="Times New Roman"/>
          <w:sz w:val="14"/>
          <w:szCs w:val="14"/>
          <w:b w:val="1"/>
          <w:bCs w:val="1"/>
          <w:color w:val="auto"/>
        </w:rPr>
        <w:t>435 Ericksen Ave, Suite 250</w:t>
      </w:r>
    </w:p>
    <w:p>
      <w:pPr>
        <w:spacing w:after="0" w:line="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Bainbridge Island, Washington</w:t>
      </w:r>
    </w:p>
    <w:p>
      <w:pPr>
        <w:spacing w:after="0" w:line="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(206) 414-1777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85-3118980</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98110</w:t>
      </w:r>
    </w:p>
    <w:p>
      <w:pPr>
        <w:spacing w:after="0" w:line="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337" w:lineRule="exact"/>
        <w:rPr>
          <w:sz w:val="24"/>
          <w:szCs w:val="24"/>
          <w:color w:val="auto"/>
        </w:rPr>
      </w:pPr>
    </w:p>
    <w:p>
      <w:pPr>
        <w:sectPr>
          <w:pgSz w:w="11900" w:h="16838" w:orient="portrait"/>
          <w:cols w:equalWidth="0" w:num="2">
            <w:col w:w="7580" w:space="360"/>
            <w:col w:w="3300"/>
          </w:cols>
          <w:pgMar w:left="320" w:top="129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12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55"/>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3"/>
                <w:szCs w:val="13"/>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08"/>
        </w:trPr>
        <w:tc>
          <w:tcPr>
            <w:tcW w:w="45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 common stock, par value $0.0001 per share</w:t>
            </w:r>
          </w:p>
        </w:tc>
        <w:tc>
          <w:tcPr>
            <w:tcW w:w="240" w:type="dxa"/>
            <w:vAlign w:val="bottom"/>
          </w:tcPr>
          <w:p>
            <w:pPr>
              <w:spacing w:after="0"/>
              <w:rPr>
                <w:sz w:val="9"/>
                <w:szCs w:val="9"/>
                <w:color w:val="auto"/>
              </w:rPr>
            </w:pPr>
          </w:p>
        </w:tc>
        <w:tc>
          <w:tcPr>
            <w:tcW w:w="18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BNZI</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The Nasdaq Capital Market</w:t>
            </w:r>
          </w:p>
        </w:tc>
      </w:tr>
      <w:tr>
        <w:trPr>
          <w:trHeight w:val="135"/>
        </w:trPr>
        <w:tc>
          <w:tcPr>
            <w:tcW w:w="4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 Warrants, each whole warrant exercisable for one share of Class A</w:t>
            </w:r>
          </w:p>
        </w:tc>
        <w:tc>
          <w:tcPr>
            <w:tcW w:w="24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BNZIW</w:t>
            </w:r>
          </w:p>
        </w:tc>
        <w:tc>
          <w:tcPr>
            <w:tcW w:w="120" w:type="dxa"/>
            <w:vAlign w:val="bottom"/>
          </w:tcPr>
          <w:p>
            <w:pPr>
              <w:spacing w:after="0"/>
              <w:rPr>
                <w:sz w:val="11"/>
                <w:szCs w:val="11"/>
                <w:color w:val="auto"/>
              </w:rPr>
            </w:pPr>
          </w:p>
        </w:tc>
        <w:tc>
          <w:tcPr>
            <w:tcW w:w="4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The Nasdaq Capital Market</w:t>
            </w:r>
          </w:p>
        </w:tc>
      </w:tr>
      <w:tr>
        <w:trPr>
          <w:trHeight w:val="166"/>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stock at an exercise price of $575.00</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20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03"/>
        </w:trPr>
        <w:tc>
          <w:tcPr>
            <w:tcW w:w="11240" w:type="dxa"/>
            <w:vAlign w:val="bottom"/>
            <w:gridSpan w:val="6"/>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27"/>
        </w:trPr>
        <w:tc>
          <w:tcPr>
            <w:tcW w:w="664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p>
        </w:tc>
        <w:tc>
          <w:tcPr>
            <w:tcW w:w="460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6"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20"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7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right="380"/>
        <w:spacing w:after="0" w:line="27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last business day of the registrant's most recently completed second fiscal quarter, was approximately $12,147,061 as of June 30, 2025, based on the last sales price reported for such date on The Nasdaq Stock Exchange LLC.</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each of the registrant's classes of common stock, as of March 27, 2026:</w:t>
      </w:r>
    </w:p>
    <w:p>
      <w:pPr>
        <w:spacing w:after="0" w:line="5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3"/>
          <w:szCs w:val="13"/>
          <w:color w:val="auto"/>
        </w:rPr>
        <w:t>Class A Common Stock - 16,947,708 shares</w:t>
      </w:r>
    </w:p>
    <w:p>
      <w:pPr>
        <w:spacing w:after="0" w:line="5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3"/>
          <w:szCs w:val="13"/>
          <w:color w:val="auto"/>
        </w:rPr>
        <w:t>Class B Common Stock - 607,998 shares</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5"/>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8280" w:type="dxa"/>
            <w:vAlign w:val="bottom"/>
            <w:gridSpan w:val="20"/>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3"/>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19"/>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5"/>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40" w:type="dxa"/>
            <w:vAlign w:val="bottom"/>
            <w:tcBorders>
              <w:top w:val="single" w:sz="8" w:color="0000FF"/>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260" w:type="dxa"/>
            <w:vAlign w:val="bottom"/>
            <w:tcBorders>
              <w:top w:val="single" w:sz="8" w:color="0000FF"/>
            </w:tcBorders>
            <w:gridSpan w:val="20"/>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70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5"/>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55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6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5"/>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060" w:type="dxa"/>
            <w:vAlign w:val="bottom"/>
            <w:gridSpan w:val="11"/>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1323"/>
        </w:trPr>
        <w:tc>
          <w:tcPr>
            <w:tcW w:w="124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This Annual Report on Form 10-K (this “Report”)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spacing w:after="0" w:line="75"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business and operating performance and goals;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recurring revenue and customer retention;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future or ability to maintain or improve its financial position, cash flows, and liquidity and its expected financial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financing and ability to obtain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strategy and proposed acquisitions and, if completed, their potential success and financial contributions;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and strategic goals, including being able to capitalize on opportunities;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relating to the Company’s industry, outlook and market trends;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addressable market and serviceable addressable market and related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strategies and expectations for retaining existing or acquiring new customers, increasing revenue and executing growth initiatives;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areas of focus and additional products that may be sold in the future.</w:t>
      </w:r>
    </w:p>
    <w:p>
      <w:pPr>
        <w:spacing w:after="0" w:line="22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Report and the Company’s Quarterly Reports on Form 10-Q under the heading “Risk Factors,” and in other reports filed by the Company, including reports on Form 8-K. The Company does not undertake any duty to update forward-looking statements after the date they are made.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“Banzai,” “Company,” “we,” “us” and “our” and similar designations refer to Banzai International, Inc.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and in November 2025 we acquired the assets of Superblocks, in order to expand our product offerings and customer base. Our platform currently includes several products, ranging across demand generation, webinar hosting, video creation and email newsletters.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Announcement</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$15 million. The two companies have executed a non-binding letter of intent, and the final transaction is expected to close in early second quarter 2026, subject to execution of a definitive agreement and closing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and Trends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MarTech landscape is vast and rapidly evolving, with multiple vendors offering solutions across a broad spectrum of needs. According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Marketing Technology Landscape report by ChiefMartec, the number of MarTech companies has grown by 27.8% year over year, reaching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14,000 providers. This fragmented ecosystem</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presents a significant opportunity for acquisitions and platform expansion. This competitive landscape is a reason why Banzai focuses on differentiating itself through exceptional products and customer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Size</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compete within the business-to-business (“B2B”) MarTech value chain, which encompasses functions including creating and distributing content, acquiring and nurturing leads, executing and optimizing campaigns, and managing and measuring performance.</w:t>
      </w:r>
    </w:p>
    <w:p>
      <w:pPr>
        <w:spacing w:after="0" w:line="16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("B2B")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spacing w:after="0" w:line="19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spacing w:after="0" w:line="18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our platform offers several SaaS products including: OpenReel, CreateStudio, Vidello, Demio, Boost, Reach and Curate.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OpenReel</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OpenReel is an AI-powered video creation platform that enables users to remotely record, edit, host, and share high-quality videos from any location.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remote capture feature allows users to film professional-grade videos using devices like smartphones or webcams, without needing to be there in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platform offers AI-driven editing tools for seamless content refinement and customization, along with secure cloud storage for easy access and sharing.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OpenReel's comprehensive solution streamlines the video production process, making it efficient and cost-effective for businesses and individuals.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CreateStudio</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professional-quality videos without the need for advanced technical skills. Notable features include 3D modeling, AI-powered text-to-speech, green screen editing, and dynamic camera movements. CreateStudio is compatible with both Mac and Windows operating systems.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Vidello</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Demio</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Boost</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Reach</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Curate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Curate by Banzai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 and Enhancements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deep technology experience to create products and features based on data and AI to increase customer value.</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have a unique management framework at Banzai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identifying opportunities for new features, enhancements, and market segments, we can strategically plan and execute our growth initiatives, supporting our long-term sustainability and success.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growth strategy is to expand our platform to make it more valuable to customers and find new ways to enhance a wider range of MarTech interactions. The key elements of our growth strategy are:</w:t>
      </w:r>
    </w:p>
    <w:p>
      <w:pPr>
        <w:spacing w:after="0" w:line="158" w:lineRule="exact"/>
        <w:rPr>
          <w:sz w:val="20"/>
          <w:szCs w:val="20"/>
          <w:color w:val="auto"/>
        </w:rPr>
      </w:pPr>
    </w:p>
    <w:p>
      <w:pPr>
        <w:ind w:left="1020" w:hanging="503"/>
        <w:spacing w:after="0" w:line="286" w:lineRule="auto"/>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Efficient Customer Acquisition</w:t>
      </w:r>
      <w:r>
        <w:rPr>
          <w:rFonts w:ascii="Times New Roman" w:cs="Times New Roman" w:eastAsia="Times New Roman" w:hAnsi="Times New Roman"/>
          <w:sz w:val="18"/>
          <w:szCs w:val="18"/>
          <w:color w:val="auto"/>
        </w:rPr>
        <w:t>: Continue to acquire new customers cost effectively through organic traffic, content, affiliates,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partnerships, advertising, word-of-mouth, and other sources.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86" w:lineRule="auto"/>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Retention and Expansion</w:t>
      </w:r>
      <w:r>
        <w:rPr>
          <w:rFonts w:ascii="Times New Roman" w:cs="Times New Roman" w:eastAsia="Times New Roman" w:hAnsi="Times New Roman"/>
          <w:sz w:val="18"/>
          <w:szCs w:val="18"/>
          <w:color w:val="auto"/>
        </w:rPr>
        <w:t>: Continue to expand our customer success and customer marketing organizations to increase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retention and customer expansion.</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86" w:lineRule="auto"/>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Implement Product Improvements</w:t>
      </w:r>
      <w:r>
        <w:rPr>
          <w:rFonts w:ascii="Times New Roman" w:cs="Times New Roman" w:eastAsia="Times New Roman" w:hAnsi="Times New Roman"/>
          <w:sz w:val="18"/>
          <w:szCs w:val="18"/>
          <w:color w:val="auto"/>
        </w:rPr>
        <w:t>: Continue to develop our family of products to create defensibly differentiated solutions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essential to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Introduce New Products</w:t>
      </w:r>
      <w:r>
        <w:rPr>
          <w:rFonts w:ascii="Times New Roman" w:cs="Times New Roman" w:eastAsia="Times New Roman" w:hAnsi="Times New Roman"/>
          <w:sz w:val="18"/>
          <w:szCs w:val="18"/>
          <w:color w:val="auto"/>
        </w:rPr>
        <w:t>: Roll out new products that attract new customers and expand the ways we can serve existing customers.</w:t>
      </w:r>
    </w:p>
    <w:p>
      <w:pPr>
        <w:spacing w:after="0" w:line="117" w:lineRule="exact"/>
        <w:rPr>
          <w:rFonts w:ascii="Times New Roman" w:cs="Times New Roman" w:eastAsia="Times New Roman" w:hAnsi="Times New Roman"/>
          <w:sz w:val="18"/>
          <w:szCs w:val="18"/>
          <w:b w:val="1"/>
          <w:bCs w:val="1"/>
          <w:color w:val="auto"/>
        </w:rPr>
      </w:pPr>
    </w:p>
    <w:p>
      <w:pPr>
        <w:ind w:left="1020" w:right="20" w:hanging="503"/>
        <w:spacing w:after="0" w:line="286" w:lineRule="auto"/>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Strategy: </w:t>
      </w:r>
      <w:r>
        <w:rPr>
          <w:rFonts w:ascii="Times New Roman" w:cs="Times New Roman" w:eastAsia="Times New Roman" w:hAnsi="Times New Roman"/>
          <w:sz w:val="18"/>
          <w:szCs w:val="18"/>
          <w:color w:val="auto"/>
        </w:rPr>
        <w:t>Continue to look for future acquisition opportunities prioritizing companies that are profitable and have highly-rated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with customer bases that align with Banzai’s existing customer base.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Superblocks</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January 31, 2025, we acquired Vidello, a private limited company registered in England and Wales. Vidello provides a suite of products for 3D video creation, royalty free music, and video marketing. Vidello offers a comprehensive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These acquisitions are a key part of our vision to build a comprehensive suite of AI-powered marketing tools that make marketers' lives faster and easier. For more information regarding these acquisitions,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to our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primary focus is on increasing mid-market and enterprise customers. Progress towards this is reflected in our acquisition of OpenReel, adding 650 customers to the overall Banzai customer base, as well as our increase in multi-host Demio customers from 14 to over 240 between January 2021 and December 31, 2025, an approximately seventeen-fold increase.</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Strengths, and Differentiation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compete across a variety of categories within the B2B MarTech landscape including digital events and webinars, demand generation, video creation, engagement platforms and marketing automation, and measurement and attribution.</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 w:cs="Times New Roman" w:eastAsia="Times New Roman" w:hAnsi="Times New Roman"/>
          <w:sz w:val="18"/>
          <w:szCs w:val="18"/>
          <w:i w:val="1"/>
          <w:iCs w:val="1"/>
          <w:color w:val="auto"/>
        </w:rPr>
        <w:t>“Risk Factors – Risks Related to Business and Industry – Failure to protect or enforce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rights could harm our business and results of operations” and “Risk Factors – Risks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Related to Business and Industry – Third parties may initiate legal proceedings alleging that we are infringing or otherwise violating their intellectual property rights, the outcome of which would be uncertain and could harm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Management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we had 33 full-time employees, 1 part-time employee, and 57 contractors.</w:t>
      </w:r>
    </w:p>
    <w:p>
      <w:pPr>
        <w:spacing w:after="0" w:line="225"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spacing w:after="0" w:line="172" w:lineRule="exact"/>
        <w:rPr>
          <w:sz w:val="20"/>
          <w:szCs w:val="20"/>
          <w:color w:val="auto"/>
        </w:rPr>
      </w:pPr>
    </w:p>
    <w:p>
      <w:pPr>
        <w:jc w:val="both"/>
        <w:ind w:left="1020" w:hanging="503"/>
        <w:spacing w:after="0" w:line="268" w:lineRule="auto"/>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Learning. </w:t>
      </w:r>
      <w:r>
        <w:rPr>
          <w:rFonts w:ascii="Times New Roman" w:cs="Times New Roman" w:eastAsia="Times New Roman" w:hAnsi="Times New Roman"/>
          <w:sz w:val="18"/>
          <w:szCs w:val="18"/>
          <w:color w:val="auto"/>
        </w:rPr>
        <w:t>Technology and marketing are constantly changing. We value learning because adaptation is essential to delivering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for our customers. Our team members are open-minded, critical-thinkers who are willing to disagree, try new things, and change their minds when warranted.</w:t>
      </w:r>
    </w:p>
    <w:p>
      <w:pPr>
        <w:spacing w:after="0" w:line="62" w:lineRule="exact"/>
        <w:rPr>
          <w:rFonts w:ascii="Times New Roman" w:cs="Times New Roman" w:eastAsia="Times New Roman" w:hAnsi="Times New Roman"/>
          <w:sz w:val="18"/>
          <w:szCs w:val="18"/>
          <w:b w:val="1"/>
          <w:bCs w:val="1"/>
          <w:color w:val="auto"/>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Serving Others. </w:t>
      </w:r>
      <w:r>
        <w:rPr>
          <w:rFonts w:ascii="Times New Roman" w:cs="Times New Roman" w:eastAsia="Times New Roman" w:hAnsi="Times New Roman"/>
          <w:sz w:val="18"/>
          <w:szCs w:val="18"/>
          <w:color w:val="auto"/>
        </w:rPr>
        <w:t>Nothing happens without our customers. We value Serving Others because serving customers is the reason we exist.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members prioritize the needs of our customers, our team, and our communities.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Game Changing. </w:t>
      </w:r>
      <w:r>
        <w:rPr>
          <w:rFonts w:ascii="Times New Roman" w:cs="Times New Roman" w:eastAsia="Times New Roman" w:hAnsi="Times New Roman"/>
          <w:sz w:val="18"/>
          <w:szCs w:val="18"/>
          <w:color w:val="auto"/>
        </w:rPr>
        <w:t>To succeed in a competitive marketplace, we have to deliver impactful solutions for our customers. Our team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 creative solutions, raise the bar, take risks, and help our customers realize more successful outcomes.</w:t>
      </w:r>
    </w:p>
    <w:p>
      <w:pPr>
        <w:spacing w:after="0" w:line="46" w:lineRule="exact"/>
        <w:rPr>
          <w:rFonts w:ascii="Times New Roman" w:cs="Times New Roman" w:eastAsia="Times New Roman" w:hAnsi="Times New Roman"/>
          <w:sz w:val="18"/>
          <w:szCs w:val="18"/>
          <w:b w:val="1"/>
          <w:bCs w:val="1"/>
          <w:color w:val="auto"/>
        </w:rPr>
      </w:pPr>
    </w:p>
    <w:p>
      <w:pPr>
        <w:jc w:val="both"/>
        <w:ind w:left="1020" w:hanging="503"/>
        <w:spacing w:after="0" w:line="268" w:lineRule="auto"/>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“10,000 Years.” </w:t>
      </w:r>
      <w:r>
        <w:rPr>
          <w:rFonts w:ascii="Times New Roman" w:cs="Times New Roman" w:eastAsia="Times New Roman" w:hAnsi="Times New Roman"/>
          <w:sz w:val="18"/>
          <w:szCs w:val="18"/>
          <w:color w:val="auto"/>
        </w:rPr>
        <w:t>To achieve long-term success, we must plan and act with the end goal in mind. We value the symbolism of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 Years” (the literal translation of the Japanese word “Banzai”), because it reminds us that we’re building for the future—to something greater than what we see today—and that each day we’re contributing toward that vision.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August 29, 2024, we held a special meeting of shareholders (the “Special Meeting”) at which the shareholders approved the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our Board determined to effect a reverse stock split at a ratio of 1-for-50 (the “September Reverse Stock Split”), effective on September 19, 2024. Accordingly, we filed an amendment to our Second Amended and Restated Certificate of Incorporation with the Delaware Secretary of State, which is filed as Exhibit 3.3 to this Report. Subsequently, we effected a 1-for-10 reverse stock split of the shares of the Company’s Class A Common Stock, effective as of July 8, 2025 (the “July Reverse Stock Split”).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 w:name="page10"/>
    <w:bookmarkEnd w:id="9"/>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The Nasdaq Capital Market. As of October 31, 2024, our Class A Common Stock began trading on The Nasdaq Capital Market, under the same symbol, BNZI.</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the Nasdaq Capital Market, to which our Class A Common Stock had been phased down as of October 31, 2024, and together with all the Listing Rules noted above, the "Nasdaq Rules") and the matter was closed.</w:t>
      </w:r>
    </w:p>
    <w:p>
      <w:pPr>
        <w:spacing w:after="0" w:line="19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the Nasdaq Capital Market.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February 28, 2025, we held a special meeting of shareholders. In addition to other approvals, the shareholders approved an amendment to our Second Amended and Restated Certificate of Incorporation to permit stockholder action by written consent.</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 w:cs="Times New Roman" w:eastAsia="Times New Roman" w:hAnsi="Times New Roman"/>
          <w:sz w:val="18"/>
          <w:szCs w:val="18"/>
          <w:i w:val="1"/>
          <w:iCs w:val="1"/>
          <w:u w:val="single" w:color="auto"/>
          <w:color w:val="0000FF"/>
        </w:rPr>
        <w:t>www.sec.gov</w:t>
      </w:r>
      <w:r>
        <w:rPr>
          <w:rFonts w:ascii="Times New Roman" w:cs="Times New Roman" w:eastAsia="Times New Roman" w:hAnsi="Times New Roman"/>
          <w:sz w:val="18"/>
          <w:szCs w:val="18"/>
          <w:color w:val="auto"/>
        </w:rPr>
        <w:t>) and are also available free of charge on our corporate website (</w:t>
      </w:r>
      <w:r>
        <w:rPr>
          <w:rFonts w:ascii="Times New Roman" w:cs="Times New Roman" w:eastAsia="Times New Roman" w:hAnsi="Times New Roman"/>
          <w:sz w:val="18"/>
          <w:szCs w:val="18"/>
          <w:i w:val="1"/>
          <w:iCs w:val="1"/>
          <w:u w:val="single" w:color="auto"/>
          <w:color w:val="0000FF"/>
        </w:rPr>
        <w:t>https://ir.banzai.io/financial-information/sec-filings</w:t>
      </w:r>
      <w:r>
        <w:rPr>
          <w:rFonts w:ascii="Times New Roman" w:cs="Times New Roman" w:eastAsia="Times New Roman" w:hAnsi="Times New Roman"/>
          <w:sz w:val="18"/>
          <w:szCs w:val="18"/>
          <w:color w:val="auto"/>
        </w:rPr>
        <w:t>) as soon as reasonably practicable after they are electronically filed with or furnished to the SEC. The foregoing website addresses are provided as inactive textual references only. The information provided on our website (or any other website referred to in this report) is not part of this Report and is not incorporated by reference as part of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or sell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 are not the only risks and uncertainties that we face. Additional risks and uncertainties not presently known to us or that we currently believe to be immaterial may become material and adversely affect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materially adversely affect our business, financial condition or results of operations in future periods. The summary should be read together with the more detailed description of each risk factor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5580" w:right="2620" w:hanging="5063"/>
        <w:spacing w:after="0" w:line="407" w:lineRule="auto"/>
        <w:tabs>
          <w:tab w:leader="none" w:pos="10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in the past and may never achieve or maintain profitability.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offerings, which makes it difficult to evaluate our current and future business prospects and increases the risk of your investment.</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depends on existing customers renewing and maintaining or expanding their subscriptions, and if we fail to retain our customers at current or expanded subscriptions, our business will be harmed.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on a cost-effective basis, our business will be harmed.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our business, results of operations, and financial condition may be harmed.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execute on our growth initiatives, business strategies, or operating plans.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assumptions, analyses, and estimates upon which our forecasts, projections and outlook are based prove to be incorrect or inaccurate, our actual results may differ materially from those forecasted or projected.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personnel, our business could be harmed.</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a limited history working together operating the Company and, as a result, our past results may not be indicative of future operating performance.</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fund our development efforts, we may not be able to compete effectively and our business and operating results may be harmed.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of, and investments in, other businesses, products, or technologies may not yield expected benefits and our inability to successfully integrate acquisitions may negatively impact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recognize revenue from subscriptions for our product offerings over the terms of the subscriptions, our financial results in any period may not be indicative of our financial health and future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can be lengthy and unpredictable, which may cause our operating results to vary significantly.</w:t>
      </w:r>
    </w:p>
    <w:p>
      <w:pPr>
        <w:spacing w:after="0" w:line="11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security breaches and ransomware attacks may create financial liabilities for us, damage our reputation, and harm our business.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 laws and regulations could impose additional costs and reduce demand for our solutions.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offerings, solutions, and internal systems, as well as external internet infrastructure, may be subject to disruption that could harm our reputation and future sales or result in claims against us.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defects in our product offerings could harm our reputation or decrease market acceptance of our product offerings, which would harm our business and results of operations.</w:t>
      </w:r>
    </w:p>
    <w:p>
      <w:pPr>
        <w:spacing w:after="0" w:line="54"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11" w:name="page12"/>
    <w:bookmarkEnd w:id="11"/>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maintain and enhance our brands, our business may suffer.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to offset future taxable income may be subject to certain limitations.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continue making significant investments in software development and equipment to improve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results could have a material adverse impact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could harm our business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or otherwise violating their intellectual property rights, the outcome of which would be uncertain and could harm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adversely affect our ability to offer our solutions and subject us to possible litigation.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Securities</w:t>
      </w:r>
    </w:p>
    <w:p>
      <w:pPr>
        <w:spacing w:after="0" w:line="229" w:lineRule="exact"/>
        <w:rPr>
          <w:sz w:val="20"/>
          <w:szCs w:val="20"/>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Class A Common Stock may depress their stock price.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(as defined below) may delist our securities from trading on its exchange, which could limit investors’ ability to make transactions in our securities and subject us to additional trading restrictions.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Class A Common Stock ceases to be listed on a national securities exchange it will become subject to the so-called “penny stock” rules that impose restrictive sales practice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has the effect of concentrating voting power with our Chief Executive Officer and Co-Founder, Joseph Davy, which may limit an investor’s ability to influence the outcome of important transactions, including a change in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impact our dual class structure will have on the market price of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Class A Common Stock is likely to be highly volatile, and you may lose some or all of your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Class A Common Stock could subject us to securities class action litigation.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us, or publish negative reports, then our stock price and trading volume could decline.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and demands upon management as a result of complying with the laws and regulations affecting public companies, which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collectively beneficially own approximately 27.1% of the voting power of our outstanding Common Stock and may have significant influence over the outcome of important transactions, including a change in control.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currently anticipated that we will pay dividends on shares of Class A Common Stock, and, consequently, your ability to achieve a return on your investment will depend on appreciation, if any, in the market price of Class A Common Stock.</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General Corporation Law (“DGCL”) and our Second Amended and Restated Certificate of Incorporation (“Charter”) and Second Amended and Restated Bylaws (“Bylaws”) contain certain provisions, including anti-takeover provisions, that limit the ability of stockholders to take certain actions and could delay or discourage takeover attempts that stockholders may consider favorable.</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forum clause set forth in certain of the agreements covering certain outstanding warrants may have the effect of limiting an investor’s rights to bring legal action and could limit the investor’s ability to obtain a favorable judicial forum.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prove to be incorrect or financial reporting standards or interpretations change, our results of operations could be adversely affected.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your unexpired Public Warrants (as hereinafter defined) prior to their exercise at a time that is disadvantageous to you, thereby making your Public Warrants worthless.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Class A Common Stock or Preferred Stock, including under our equity incentive plan. Any such issuances would dilute the interest of our stockholders and likely present other risks.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Class A Common Stock in the public market pursuant to our effective registration statement could reduce the market price of Class A Common Stock.</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convertible promissory notes have certain rights upon an event of default under their respective agreements that could harm our business, financial condition and results of operations and could require us to curtail or cease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in the past and may never achieve or maintain profitability.</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including operating losses of $18.5 million, and $13.5 million, in the years ended December 31, 2025, and 2024,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unable to successfully address these risks and challenges as we encounter them, our business may be harmed. Our failure to achieve or maintain profitability or positive cash flow could negatively impact the value of our Class A Common Stock.</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spacing w:after="0" w:line="17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Management has concluded, and the report of our auditors included in this Report reflect, that there is substantial doubt about our ability to continue as a going concern within 12 months after the date of this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offerings, which makes it difficult to evaluate our current and future business prospects and increases the risk of your investment.</w:t>
      </w:r>
    </w:p>
    <w:p>
      <w:pPr>
        <w:spacing w:after="0" w:line="15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w:t>
      </w:r>
      <w:r>
        <w:rPr>
          <w:rFonts w:ascii="Times New Roman" w:cs="Times New Roman" w:eastAsia="Times New Roman" w:hAnsi="Times New Roman"/>
          <w:sz w:val="18"/>
          <w:szCs w:val="18"/>
          <w:color w:val="212529"/>
        </w:rPr>
        <w:t>i</w:t>
      </w:r>
      <w:r>
        <w:rPr>
          <w:rFonts w:ascii="Times New Roman" w:cs="Times New Roman" w:eastAsia="Times New Roman" w:hAnsi="Times New Roman"/>
          <w:sz w:val="18"/>
          <w:szCs w:val="18"/>
          <w:color w:val="auto"/>
        </w:rPr>
        <w:t>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rate depends on existing customers renewing and maintaining or expanding their subscriptions, and if we fail to retain our customers at current or expanded subscriptions, our business will be harmed.</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in part on existing customers expanding their subscriptions. If our efforts to sell upgrades to our customers are not successful, it may decrease our revenue growth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on a cost-effective basis, our business will be harmed.</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results of operations, and financial condition would likely be harmed.</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uncertainties. If these assumptions, analyses, or estimates prove to be incorrect or inaccurate, our actual results may differ materially from those forecasted or projected and may adversely affect the value of our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personnel, our business could be harmed.</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a limited history working together operating the Company and, as a result, our past results may not be indicative of future operating performance.</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Report.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spacing w:after="0" w:line="15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products and features is dependent on adequate development resources. If we do not adequately fund our development efforts, we may not be able to compete effectively, and our business and operating results may be harmed.</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acquisitions of, and investments in, other businesses, products, or technologies may not yield expected benefits and our inability to successfully integrate acquisitions may negatively impact our business, financial condition, and results of operations.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the past, we have pursued acquisitions of technology and expertise to enhance the products and services we offer, including OpenReel in 2024 and Vidello in 2025.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spacing w:after="0" w:line="18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resulting from our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acquired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operations, personnel, technologies,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existing business operations and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that are needed in other parts of our business, including integration of other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transitioning acquired technology and related infrastructures into our existing product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maintaining security and privacy standards of acquired technology consistent with our existing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financial and credit risks associated with the acquired businesses or their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internal controls, procedures, and policies at the acquired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additional laws and regulations applicable to the acquired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and indirect tax impacts of any such acquisitions.</w:t>
      </w:r>
    </w:p>
    <w:p>
      <w:pPr>
        <w:spacing w:after="0" w:line="225"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find attractive targets for future acquisitions.</w:t>
      </w:r>
    </w:p>
    <w:p>
      <w:pPr>
        <w:spacing w:after="0" w:line="229"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8"/>
          <w:szCs w:val="18"/>
          <w:color w:val="auto"/>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spacing w:after="0" w:line="1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competitors include:</w:t>
      </w:r>
    </w:p>
    <w:p>
      <w:pPr>
        <w:spacing w:after="0" w:line="22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Vimeo, Zoom, and GoToWebinar with respect to video platforms;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Mailchimp and Constant Contact with respect to email marketing;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Marketo, Hubspot, and Braze with respect to marketing automation platforms.</w:t>
      </w:r>
    </w:p>
    <w:p>
      <w:pPr>
        <w:spacing w:after="0" w:line="22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spacing w:after="0" w:line="19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5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spacing w:after="0" w:line="183"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our current and potential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and implementation cycles;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expansions of our product offerings, offerings, or challenges with their introduction;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or fee structures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offering introductions by us or our competitors or any other change in the competitive landscape of our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that we may incur to grow and expand our operations and to remain 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information security or privacy;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stock-based compensation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expansion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ongoing or future regulatory investigations or examinations, or of future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accounting estimates and appropriately recognize revenue for our existing and future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financial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 and international;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global financial markets;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terrorist activities and outbreaks of public health threats, such as coronavirus, influenza, or other highly communicable diseases or viruses, and any disruption these events may cause to the global economy;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recognize revenue from subscriptions for our product offerings over the terms of the subscriptions, our financial results in any period may not be indicative of our financial health and future performance.</w:t>
      </w:r>
    </w:p>
    <w:p>
      <w:pPr>
        <w:spacing w:after="0" w:line="15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lengthy and unpredictable, which may cause our operating results to vary significantly.</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spacing w:after="0" w:line="1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spacing w:after="0" w:line="194"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spacing w:after="0" w:line="19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and data security breaches and ransomware attacks may create financial liabilities for us, damage our reputation, and harm our business.</w:t>
      </w:r>
    </w:p>
    <w:p>
      <w:pPr>
        <w:spacing w:after="0" w:line="15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 laws and regulations could impose additional costs and reduce demand for our solutions.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spacing w:after="0" w:line="18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offerings, solutions, and internal systems, as well as external internet infrastructure, may be subject to disruption that could harm our reputation and future sales or result in claims against us.</w:t>
      </w:r>
    </w:p>
    <w:p>
      <w:pPr>
        <w:spacing w:after="0" w:line="15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Undetected defects in our product offerings could harm our reputation or decrease market acceptance of our product offerings, which would harm our business and results of operations.</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spacing w:after="0" w:line="17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spacing w:after="0" w:line="19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offerings. Any such increased costs or pricing may have a negative effect on our customer relationships and may adversely affect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maintain and enhance our brands, our business may suffer.</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customer support services could adversely affect our relationships with our customers and our operating results.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to offset future taxable income may be subject to certain limitations.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make significant investments in software development and equipment to improve our business.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litigation results could have a material adverse impact on our business.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or enforce our intellectual property rights could harm our business and results of operations.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spacing w:after="0" w:line="17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spacing w:after="0" w:line="18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We also may incur significant costs in enforcing our trademarks against those who attempt to imitate our brand and other valuable trademarks and service marks.</w:t>
      </w:r>
    </w:p>
    <w:p>
      <w:pPr>
        <w:spacing w:after="0" w:line="162"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spacing w:after="0" w:line="19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or otherwise violating their intellectual property rights, the outcome of which would be uncertain and could harm our business.</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solutions and subject us to possible litigation.</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spacing w:after="0" w:line="18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spacing w:after="0" w:line="15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the years ended December 31, 2025 and 2024, our net cash used in operating activities was $15.7 million and $9.6 million, respectively. As of December 31, 2025 and 2024, we had $0.3 million and $1.1 million of cash, respectively, which were held for working capital purposes. As of December 31, 2025 and 2024, we had borrowings totaling $10.6 million and $12.4 million, respectively, outstanding under our term loans and promissory notes.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requirements may be significantly different from previous estimates and will depend on many factors, including the need to:</w:t>
      </w:r>
    </w:p>
    <w:p>
      <w:pPr>
        <w:spacing w:after="0" w:line="22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product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strategic relationships, including joint ventures and co-investments;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additional implementation engagements;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technologies, products, or services.</w:t>
      </w:r>
    </w:p>
    <w:p>
      <w:pPr>
        <w:spacing w:after="0" w:line="22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Class A Common Stock may depress the stock price.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Future sales of shares of Class A Common Stock in the public market, including the resale of shares pursuant to our effective registration statements or pursuant to Rule 144, could depress the stock price. See </w:t>
      </w:r>
      <w:r>
        <w:rPr>
          <w:rFonts w:ascii="Times New Roman" w:cs="Times New Roman" w:eastAsia="Times New Roman" w:hAnsi="Times New Roman"/>
          <w:sz w:val="18"/>
          <w:szCs w:val="18"/>
          <w:i w:val="1"/>
          <w:iCs w:val="1"/>
          <w:color w:val="auto"/>
        </w:rPr>
        <w:t>“Risk Factors – Sales of a substantial number of shares of Class A Common Stock in the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market pursuant to our registration statements could reduce the market price of Class A Common Stock.” </w:t>
      </w:r>
      <w:r>
        <w:rPr>
          <w:rFonts w:ascii="Times New Roman" w:cs="Times New Roman" w:eastAsia="Times New Roman" w:hAnsi="Times New Roman"/>
          <w:sz w:val="18"/>
          <w:szCs w:val="18"/>
          <w:color w:val="auto"/>
        </w:rPr>
        <w:t>below.</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spacing w:after="0" w:line="1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to the consolidated financial statements elsewhere in this Report.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Statement filed with the SEC for the resale under the Securities Act, and if there are Yorkville promissory notes outstanding, Yorkville may require us to issue shares of our Class A Common Stock in satisfaction of amounts outstanding thereunder.</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is subject to requirements to remain listed on the Nasdaq Capital Market, including a minimum bid price requirement and stockholders’ equity requirement, and may be delisted if it does not maintain or regain, as applicable, compliance with those requirements.</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Nasdaq Marketplace Rule 5550(a)(2) requires a minimum bid price of $1.00 per share for primary equity securities listed on the Nasdaq Capital Market (the “Minimum Bid Price Requirement”). To regain compliance with the Minimum Bid Price Requirement, we effected the September Reverse Stock Split on September 19, 2024 and subsequently we effected the July Reverse Stock Split on July 8, 2025. Following the July Reverse Stock Split, the bid price of our Class A Common Stock surpassed $1.00 per share.</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September Reverse Stock Split and the 1-for-10 July Reverse Split,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5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Previously, we were not in compliance with certain Nasdaq listing rules and had a hearing before The Nasdaq Panel, on September 19, 2024. Following that hearing, the Panel determined to phase our Class A Common Stock down from The Nasdaq Global Market to The Nasdaq Capital Market. Since October 31, 2024, our Class A Common Stock trades on The Nasdaq Capital Market, under the same symbol, BNZI. Later, we fell out of compliance with Listing Rule 5450(b)(2)(A) (the (“Market Value of Listed Securities”), but the Nasdaq Stock Market LLC, Office of the General Counsel ultimately determined we demonstrated compliance therewith. There can be no assurance that we will be able to maintain compliance with Nasdaq listing standards.</w:t>
      </w:r>
    </w:p>
    <w:p>
      <w:pPr>
        <w:spacing w:after="0" w:line="200" w:lineRule="exact"/>
        <w:rPr>
          <w:sz w:val="20"/>
          <w:szCs w:val="20"/>
          <w:color w:val="auto"/>
        </w:rPr>
      </w:pPr>
    </w:p>
    <w:p>
      <w:pPr>
        <w:spacing w:after="0" w:line="20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number of institutional and general investors that will consider investing in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number of market makers for our Class A Common stock and the number of broker-dealers willing to execute trades in shares of our Class A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regulation in each state in which we offer our securities.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Class A Common Stock ceases to be listed on a national securities exchange it will become subject to the so-called “penny stock” rules that impose restrictive sales practice requirements.</w:t>
      </w:r>
    </w:p>
    <w:p>
      <w:pPr>
        <w:spacing w:after="0" w:line="15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If we are unable to maintain the listing of our Class A Common Stock on The Nasdaq Capital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 class common stock structure has the effect of concentrating significant voting power with our Chief Executive Officer and Co-Founder, Joseph Davy, which may limit an investor’s ability to influence the outcome of important transactions, including a change in control.</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26.5% of our outstanding voting power as of March 27, 2026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is likely to continue to be, highly volatile, and you may lose some or all of your investment.</w:t>
      </w:r>
    </w:p>
    <w:p>
      <w:pPr>
        <w:spacing w:after="0" w:line="15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 including fluctuations in its quarterly and annual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its competitors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its other public announcements and its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it may otherwise provide to the public;</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Class A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pandemics, epidemics, or other public health emergencies;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events or factors, many of which are beyond our control;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our Class A Common Stock could subject us to securities class action litigation.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then our stock price and trading volume could decline.</w:t>
      </w:r>
    </w:p>
    <w:p>
      <w:pPr>
        <w:spacing w:after="0" w:line="15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spacing w:after="0" w:line="15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spacing w:after="0" w:line="176"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Report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1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Legacy Banzai did not design or maintain an effective control environment under the rules and regulations of the SEC. Accordingly and specifically,</w:t>
      </w:r>
    </w:p>
    <w:p>
      <w:pPr>
        <w:spacing w:after="0" w:line="27" w:lineRule="exact"/>
        <w:rPr>
          <w:sz w:val="20"/>
          <w:szCs w:val="20"/>
          <w:color w:val="auto"/>
        </w:rPr>
      </w:pPr>
    </w:p>
    <w:p>
      <w:pPr>
        <w:jc w:val="both"/>
        <w:ind w:firstLine="8"/>
        <w:spacing w:after="0" w:line="252" w:lineRule="auto"/>
        <w:tabs>
          <w:tab w:leader="none" w:pos="2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spacing w:after="0" w:line="19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collectively beneficially own approximately 27.1% of the voting power of our outstanding Common Stock and may have significant influence over the outcome of important transactions, including a change in control.</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in the aggregate, beneficially own approximately 27.1% of the voting power of our outstanding shares of Common Stock as of the date of this Report, based on the number of shares outstanding as of March 27, 2026. As a result, these stockholders, if acting together, may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significant ownership position may have the effect of delaying, preventing, or deterring a change in control of the Company, could deprive our stockholders of an opportunity to receive a premium for their Class A Common Stock as part of the sale of the Company, and might ultimately affect the market price of our Class A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currently anticipated that we will pay dividends on shares of our Class A Common Stock, and, consequently, your ability to achieve a return on your investment will depend on appreciation, if any, in the market price of Class A Common Stock.</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DGCL and our Charter and Bylaws contain certain provisions, including anti-takeover provisions, that limit the ability of stockholders to take certain actions and could delay or discourage takeover attempts that stockholders may consider favorable.</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spacing w:after="0" w:line="180" w:lineRule="exact"/>
        <w:rPr>
          <w:sz w:val="20"/>
          <w:szCs w:val="20"/>
          <w:color w:val="auto"/>
        </w:rPr>
      </w:pPr>
    </w:p>
    <w:p>
      <w:pPr>
        <w:ind w:left="5540" w:right="4760" w:hanging="5023"/>
        <w:spacing w:after="0" w:line="407" w:lineRule="auto"/>
        <w:tabs>
          <w:tab w:leader="none" w:pos="10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shares of our Class B Common Stock are entitled to 10 votes per share;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2" w:name="page33"/>
    <w:bookmarkEnd w:id="32"/>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stockholders to take action by written consent in lieu of a meeting;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Board or our management.</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1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spacing w:after="0" w:line="18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5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Operations-Critical Accounting Estimates</w:t>
      </w:r>
      <w:r>
        <w:rPr>
          <w:rFonts w:ascii="Times New Roman" w:cs="Times New Roman" w:eastAsia="Times New Roman" w:hAnsi="Times New Roman"/>
          <w:sz w:val="18"/>
          <w:szCs w:val="18"/>
          <w:color w:val="auto"/>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Preferred Stock, including under our equity incentive plan. Any such issuances would dilute the interest of our stockholders and likely present other risks.</w:t>
      </w:r>
    </w:p>
    <w:p>
      <w:pPr>
        <w:spacing w:after="0" w:line="15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Common Stock or Preferred Stock, including under our 2023 equity incentive plan. Any such issuances of additional shares of Common Stock or Preferred Stock:</w:t>
      </w:r>
    </w:p>
    <w:p>
      <w:pPr>
        <w:spacing w:after="0" w:line="16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preferred stock is issued with rights senior to those afforded our Common Stock;</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Common Stock and/or Public Warrants.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Class A Common Stock in the public market pursuant to our registration statements could reduce the market price of Class A Common Stock.</w:t>
      </w:r>
    </w:p>
    <w:p>
      <w:pPr>
        <w:spacing w:after="0" w:line="15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convertible promissory notes have certain rights upon an event of default under their respective agreements that could harm our business, financial condition and results of operations and could require us to curtail or cease our operations.</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to the consolidated financial statements and </w:t>
      </w:r>
      <w:r>
        <w:rPr>
          <w:rFonts w:ascii="Times New Roman" w:cs="Times New Roman" w:eastAsia="Times New Roman" w:hAnsi="Times New Roman"/>
          <w:sz w:val="18"/>
          <w:szCs w:val="18"/>
          <w:i w:val="1"/>
          <w:iCs w:val="1"/>
          <w:color w:val="auto"/>
        </w:rPr>
        <w:t>“Management’s Discussion and Analysis — 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Capital Resources” </w:t>
      </w:r>
      <w:r>
        <w:rPr>
          <w:rFonts w:ascii="Times New Roman" w:cs="Times New Roman" w:eastAsia="Times New Roman" w:hAnsi="Times New Roman"/>
          <w:sz w:val="18"/>
          <w:szCs w:val="18"/>
          <w:color w:val="auto"/>
        </w:rPr>
        <w:t>for additional information regarding these notes and the related arrangements.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investor’s rights to bring legal action and could limit the investor’s ability to obtain a favorable judicial forum.</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Outstanding warrants to purchase shares of our Class A Common Stock (the “Warrants”) may never be in the money and they may expire worthless and therefore we may not receive cash proceeds from the exercise of the Warrants. The terms of the Warrants may be amended in a manner adverse to a holder if holders of at least 50% of the then outstanding applicable Warrants approve of such amendment.</w:t>
      </w:r>
    </w:p>
    <w:p>
      <w:pPr>
        <w:spacing w:after="0" w:line="1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have outstanding warrants, including public warrants originally issued in 7GC’s initial public offering (the "Public Warrants") and warrants issued to other investors in connection with various financings that the Company has completed (collectively, the “Warrants”).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exercise of Warrants, and any proceeds we may receive from their exercise, are highly dependent on the price of our Class A Common Stock and the spread between the exercise price of the Warrant and the price of our Class A Common Stock at the time of exercise. There can be no assurance that our Warrants will be in the money prior to their expiration.</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Public Warrants under certain conditions, as described in the Warrant Agreement, are redeemable by us at a price of $0.01 per warrant. The GEM Warrant is not redeemable and, like some of the other outstanding Warrants, is exercisable on a cash or cashless basis; if such Warrants are exercised on a “cashless basis,” whether or not they are in the money, we will not receive cash for such exercise. As such, it is possible that we may never generate any cash proceeds from the exercise of our Warrants.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spacing w:after="0" w:line="178"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 – Warrant Liabilities</w:t>
      </w:r>
      <w:r>
        <w:rPr>
          <w:rFonts w:ascii="Times New Roman" w:cs="Times New Roman" w:eastAsia="Times New Roman" w:hAnsi="Times New Roman"/>
          <w:sz w:val="18"/>
          <w:szCs w:val="18"/>
          <w:color w:val="auto"/>
        </w:rPr>
        <w:t xml:space="preserve"> to the consolidated financial statements for additional information regarding the Warrants, including the number of shares underlying the Warrants, exercise prices and expiration dates.</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Public Warrants prior to their exercise at a time that is disadvantageous to you, thereby making your Public Warrants worthless.</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$18.00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which, at the time the outstanding warrants are called for redemption, the Company expects would be substantially less than the market value of your warrants. Shares of Class A Common Stock have never traded above $18.00 per share.</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maintain a cyber risk management program designed to identify, assess, manage, mitigate, and respond to cybersecurity threats.</w:t>
      </w:r>
    </w:p>
    <w:p>
      <w:pPr>
        <w:spacing w:after="0" w:line="22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underlying processes and controls of our cyber risk management program incorporate recognized best practices and standards for cybersecurity and information technology, including the National Institute of Standards and Technology (NIST) Cybersecurity Framework (CSF) and processes and controls supporting requirements with the General Data Protection Regulation (GDPR). The NIST CSF offers a thorough set of guidelines and best practices to help establish a strong cybersecurity posture. Utilizing NIST CSF enables us to systemically identify, assess, and manage cybersecurity risks most relevant and impactful to our business operations. It is important to note that using the NIST CSF as a guide does not imply our cybersecurity program meets any specific technical standards or requirements.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an annual assessment performed by a third-party specialist of the cyber risk management program against the NIST CSF. The annual risk assessment identifies, quantifies, and categorizes material cyber risks. In addition, we, in conjunction with the third-party cyber risk management specialists, develop a Risk Mitigation Plan to mitigate such risks, and where necessary, remediate potential vulnerabilities identified through the annual assessment process.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maintain policies over areas such as information security, incident management, business continuity, IT change and configuration management, acceptable use and access on/offboarding to help govern the processes put in place by management designed to protect our IT assets, data, and services from threats and vulnerabilities. We partner with industry recognized cybersecurity providers leveraging third-party technology and expertise. We engage with these partners to monitor and maintain the performance and effectiveness of IT assets, data, and services that are deployed in our IT environment.</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Cybersecurity partners, including assessors, consultants, advisors and other third-party service providers, are a key part of our cybersecurity risk management strategy and infrastructure. We partner with industry recognized cybersecurity providers leveraging third-party technology and expertise and engage with these partners to monitor and maintain the performance and effectiveness of IT assets, data and services. The cybersecurity partners provide services including, but not limited to, configuration management, vulnerability scans, network protection and monitoring, remote monitoring and management, user activity monitoring, data backups management, infrastructure maintenance, cybersecurity strategy, and cyber risk advisory, assessment, and remediation.</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implemented third-party risk management processes to manage the risks associated with reliance on vendors, critical service providers, and other third-parties that may lead to a service disruption or an adverse cybersecurity incident. This includes vendor due diligence prior to onboarding, a review of System and Organization Control (SOC) reports on an annual basis, regular review of vendor contracts, and compliance with service level agreements (SLAs).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evaluating the risks identified as a result of the annual cybersecurity assessment process, our cybersecurity partners assist the Company to assess the likelihood, severity, and impact of relevant risks, including the impact on employees, stakeholders, and vendors. These risks are prioritized and monitored by the cybersecurity partners and management of the Company.</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cybersecurity program includes an incident response plan that includes all relevant and critical members of management and third-party service providers alike. The team is responsible for assessing and managing cybersecurity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incident response processes, response times, and communication plans in the event corrective actions and mitigation procedures are required to isolate and eradicate an incident.</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management team, in conjunction with the Chief Technology Officer and cybersecurity service providers are responsible for oversight and administration of our cyber risk management program, and for informing senior management and other relevant stakeholders regarding the prevention, detection, mitigation, and remediation of cybersecurity incidents. The management team has prior experience selecting, deploying, and overseeing cybersecurity technologies, initiatives, and processes directly or via selection of strategic third-party partners. Management relies on threat intelligence as well as other information obtained from governmental, public or private sources, including external consultants engaged in strategic cyber risk management, advisory and decision making.</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Audit Committee oversees our cybersecurity risk exposures and the steps taken by management to monitor and mitigate cybersecurity risks. The cybersecurity stakeholders, including member(s) of management assigned with cybersecurity oversight responsibility and/or third-party consultants providing cyber risk services brief the Audit Committee on cyber threats and vulnerabilities identified through the risk management process, the effectiveness of our cyber risk management program, and the emerging threat landscape and new cyber risks on at least an annual basis. This includes updates on our processes to prevent, detect, and mitigate cybersecurity incidents. In addition, cybersecurity risks are reviewed by our Board at least annually, as part of the Company’s corporate risk oversight processes.</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face risks from cybersecurity threats that could have a material adverse effect on our business, financial condition, results of operations, cash flows or reputation. We acknowledge that the risk of a cyber incident is prevalent in the current threat landscape and that a future cyber incident may occur in the normal course of our business. However, prior cybersecurity incidents have not had a material adverse effect on our business, financial condition, results of operations, or cash flows. We proactively seek to detect and investigate unauthorized attempts and attacks against our IT assets, data, and services, and to prevent their occurrence and recurrence where practical through changes or updates to our internal processes and tools and changes or updates to our service delivery; however, potential vulnerabilities to known or unknown threats will remain. Further, there is increasing regulation regarding responses to cybersecurity incidents, including reporting to regulators, investors, and additional stakeholders, which could subject us to additional liability and reputational harm. In response to such risks, we have implemented initiatives such as the cybersecurity risk assessment process and developed an incident response plan. See Item 1A. "Risk Factors" for more information on our cybersecurity risks.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Class A Common Stock and Public Warrants are listed on The Nasdaq Capital Market under the symbols “BNZI” and “BNZIW,” respectively. Our Class B Common Stock is not publicly traded. </w:t>
      </w:r>
      <w:r>
        <w:rPr>
          <w:rFonts w:ascii="Times New Roman" w:cs="Times New Roman" w:eastAsia="Times New Roman" w:hAnsi="Times New Roman"/>
          <w:sz w:val="18"/>
          <w:szCs w:val="18"/>
          <w:color w:val="212529"/>
        </w:rPr>
        <w:t>All Class A Common Stock share and per share information included in this Report has been retroactively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adjusted to reflect the impact of the 2024 Reverse Stock Split and 2025 Reverse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27, 2026, there were 56 holders of record of our Class A Common Stock, 1 holder of record of our Class B Common Stock, and 1 holder of record of our Public Warrants. These numbers do not include beneficial owners whose securities were held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of the date of this Report,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though their relationships with the Registrant, to information about the Registrant.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Promissory Notes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14, 2023, Legacy Banzai issued a convertible promissory note in the principal amount of $2.0 million to Yorkville pursuant to the SEPA and on February 5, 2024, and March 26, 2024, the Company issued convertible promissory notes in the principal amount of $1.0 million and $1.5 million, respectively, to Yorkville pursuant to the SEPA. Between January 1, 2024 and June 30, 2024, the Company issued 64,852 shares of Common Stock to Yorkville upon conversion of $1.8 million of the Yorkville Promissory Notes. In addition, on March 18, 2024, the Company issued 14,201 shares of Common Stock to Yorkville in satisfaction of a deferred fee payment in the amount of $500,000. Further, on May 3, 2024, the Company agreed to issue to Yorkville 12,000 shares of Common Stock, which shares represent satisfaction of a $200,000 Payment Premium due in accordance with the Yorkville Promissory Notes in connection with our early redemption of $2 million outstanding under the Yorkville Promissory Notes with the proceeds from the sale of our securities in a past share offering. The Company's issuance of the Yorkville Promissory Notes and the shares of Class A Common Stock issued to Yorkville and issuable upon conversion of the Yorkville Promissory Notes have not been registered under the Securities Act in reliance on the exemption from registration provided by Section 4(a)(2) of the Securities Act.</w:t>
      </w:r>
    </w:p>
    <w:p>
      <w:pPr>
        <w:spacing w:after="0" w:line="1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Between January 1, 2024 and October 14, 2024, 454,158 shares of Common Stock had been issued upon conversion of the Yorkville Promissory Notes and a cash payment of $750,000 was made in May 2024. The aggregate principal amount was fully satisfied that no remaining outstanding balance under the Yorkville Promissory Notes as of December 31, 2024.</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GEM Promissory Note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February 5, 2024, the Company issued the GEM Promissory Note in the principal amount of $1.0 million to GEM pursuant to the GEM Settlement Agreement. The GEM Promissory Note provides for the issuance of shares of Common Stock at a conversion price equal to the VWAP of the trading day immediately preceding the applicable payment due date. As of March 27, 2026, we have issued an aggregate of 19,000 shares of Class A Common Stock to GEM in satisfaction of the aggregate $784,943 principal amount outstanding under the GEM Promissory Note and paid the remaining balance of $215,057 in cash.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Roth Shares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February 2, 2024, the Company issued 350 shares of Class A Common Stock to Roth pursuant to the Roth Addendum as consideration for advisory services provided by Roth in connection with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Agreement Shares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Effective March 20, 2024, the Company issued to a consultant (the “Marketing Consultant”) 307 shares of its Class A Common Stock, which shares represented $200,000 of compensation for the Marketing Consultant’s services under a marketing services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 Agreement Shares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April 13, 2024, the Company entered into a Consulting Services Agreement with a consultant (the “Business Consultant”). The Company agreed to issue to the Business Consultant a total of 640 shares of its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Equitization Issuances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From August 23, 2024 to September 23,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are to be registered with the Securities and Exchange Commission (the “SEC”) in a registration statement on Form S-1 and Shares that are exempt from registration. </w:t>
      </w:r>
      <w:r>
        <w:rPr>
          <w:rFonts w:ascii="Times New Roman" w:cs="Times New Roman" w:eastAsia="Times New Roman" w:hAnsi="Times New Roman"/>
          <w:sz w:val="18"/>
          <w:szCs w:val="18"/>
          <w:color w:val="212529"/>
        </w:rPr>
        <w:t>As of December 31, 2024, the Company has issued an aggregate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302,794 Shares to the Creditors in exchange for the cancellation of an aggregate of $5,464,657 of debt. The Company agreed to issue an aggregate of 45,000 additional Shares pursuant to the Debt Reorganization.</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On September 9, 2024, the Company issued 2,400 restricted shares of its Common Stock, partially in exchange for the various investor relations services outlined in the Consulting Agreement with MZHCI, LLC, an MZ Group Company.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February 4, 2025 the Company issued 3,000 shares to Verista Partners, Inc., aka Winterberry Group, one of its Creditors, in exchange for the cancellation of a portion of the total outstanding debt, in the amount of $16,666, pursuant to the Debt Reorganization.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BF/Alco Shares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27, 2026, we issued an aggregate of 264,939 shares of Class A Common Stock to CP BF and Alco, which includes 104,882 pre-funded warrants Alco exercised on April 21, 2025, pursuant to the agreements we entered into with them in September 2024.</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October 2025, CP BF exercised its optional conversion option pursuant to which it received an aggregate of 62,700 shares of Class A Common Stock at conversion prices ranging from $2.38 to $2.74 per share, in satisfaction of an aggregate of $167,116 of the Company’s obligations under the 2024 CP BF Convertible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Hudson Global Ventures Shares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On October 15, 2024, the Company issued 4,500 shares of Class A Common Stock to Hudson Global Ventures, LLC, a Nevada limited liability company ("Hudson") pursuant to the Consulting Agreement as consideration for advisory services provided by Hudson. </w:t>
      </w:r>
      <w:r>
        <w:rPr>
          <w:rFonts w:ascii="Times New Roman" w:cs="Times New Roman" w:eastAsia="Times New Roman" w:hAnsi="Times New Roman"/>
          <w:sz w:val="18"/>
          <w:szCs w:val="18"/>
          <w:color w:val="212529"/>
        </w:rPr>
        <w:t>On January 3, 2025 and April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2025, the Company issued 15,000 and 4,000 restricted shares of its Class A Common Stock, respectively, in exchange for the business advisory services outlined in the consulting agreements with Hudson.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CP BF Pre-Funded Warrant Exercise</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January 7, 2025, the Company issued 4 shares of Class A Common Stock to CP BF, resulting from the exercise of 4 pre-funded warrants under the CP BF Pre-Funded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Issuance to Executives</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On March 6, 2025, the Company issued 33,777 shares of Class A common stock related to RSUs issued to executives as part of the Company’s fiscal 2024 bonus plan, following Board approvals.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Vidello</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pursuant to which, the Company issued 89,820 shares of Class A Common Stock to the shareholders of Vidello.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31,884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Class A Common Stock issued to 1800 Diagonal</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Between July 22, 2025 and March 27, 2026, the Company issued an aggregate of 717,126 shares of Class A Common Stock, pursuant to conversion notices from 1800 Diagonal to convert an aggregate of $831,039 in notes the Company previously issued to them; the conversion price ranged from $0.878 per share to $2.2685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Class A Common Stock issued upon conversion of Senior Secured Convertible Notes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March 27, 2026, the Company issued an aggregate of 5,441,812 shares of Class A Common Stock, pursuant to conversion notices to convert an aggregate of $7,243,587 in senior secured convertible notes the Company previously issued to an institutional investor at conversion prices ranging from $0.831 to $2.577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center"/>
        <w:ind w:right="99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jc w:val="center"/>
        <w:ind w:right="994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audited financial statements and related notes included in Part II, Item 8 of this Form 10-K.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Form 10-K.</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and both Vidello and the assets of Superblocks in 2025, further expanding our platform and customer base.</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2025 Financial and Operational Highlights</w:t>
      </w:r>
    </w:p>
    <w:p>
      <w:pPr>
        <w:spacing w:after="0" w:line="121" w:lineRule="exact"/>
        <w:rPr>
          <w:sz w:val="20"/>
          <w:szCs w:val="20"/>
          <w:color w:val="auto"/>
        </w:rPr>
      </w:pPr>
    </w:p>
    <w:p>
      <w:pPr>
        <w:ind w:left="1020" w:right="4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grew 168.6% to $12.2 million for full year 2025 compared to 2024. Total cost of revenue increased only 53.8% year over year, resulting in improved gross profit.</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reached $10.0 million for full year 2025, compared to $3.1 million in 2024. Gross profit was 82.0% in full year 2025 compared to 68.6% in 2024.</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to $22.5 million for full year 2025, compared to $31.5 million in 2024, which represents a $9.0 million improvement year over year.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increased $10.8 million to $8.1 million as of December 31, 2025. The company made substantial improvements to the balance sheet during 2025.</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payoff and debt conversion agreement for approximately $4.3 million in outstanding senior secured debt. The decision by senior debt holders to convert into equity reflects a strong vote of confidence in our vision and trajectory.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an $11 million debt facility in June 2025 with an institutional investor to support ongoing operations and solidify the foundation for future growth.</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ind w:left="1020" w:right="3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customer base to over 150,000 cumulative total customers that have used Banzai products as of December 31, 2025. Customers include blue chip names across healthcare, financial services, e-commerce, technology, and media, with customers in over 90 countries.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right="2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institutional investor increased their direct equity stake to 18.7% following the exercise of warrants. We believe this demonstrates their confidence in our long-term strategy.</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strong pipeline focused on the BFSI (banking, financial services, insurance, and FinTech) segment with multiple seven-figure deals. We are seeing substantial improvements in our pipeline, especially for mid-market and enterprise customers.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shifted CreateStudio revenue model from one-time license to recurring subscription revenue. The vast majority of CreateStudio revenue is now recurring, with a very effective customer upsell program running.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recent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Superblocks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Vidello</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OpenReel</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 xml:space="preserve">These acquisitions are a key part of our vision to build a comprehensive suite of AI-powered marketing tools that make marketers' lives faster and easier. For more information regarding these acquisitions,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included in our consolidated financial statements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Announcement</w:t>
      </w:r>
    </w:p>
    <w:p>
      <w:pPr>
        <w:spacing w:after="0" w:line="229"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As noted in Item 1. Business, on March 23, 2026, the Company announced that it reached an agreement on terms to acquire assets of ConnectAndSell. The acquisition is expected to increase Banzai’s annual revenue by approximately $15 million. The two companies have executed a non-binding letter of intent, and the final transaction is expected to close in early second quarter 2026, subject to execution of a definitive agreement and closing conditions.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212529"/>
        </w:rPr>
        <w:t>Terminated Act-On Merger</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entered into an Agreement and Plan of Merger, dated January 22, 2025, with Act-On Software, Inc., a Delaware corporation (“Act-On”). Although the Company worked diligently to complete all closing conditions of the Plan of Merger, due to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and Public Company Costs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51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3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551"/>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63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12,161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7,633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09"/>
        </w:trPr>
        <w:tc>
          <w:tcPr>
            <w:tcW w:w="5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6,867</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5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28,437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16,573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11,864</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debt issuance</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5320" w:type="dxa"/>
            <w:vAlign w:val="bottom"/>
            <w:gridSpan w:val="2"/>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Loss on conversion and settlement of Alco promissory notes – related</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98"/>
        </w:trPr>
        <w:tc>
          <w:tcPr>
            <w:tcW w:w="53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Change in fair value of bifurcated embedded derivative assets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Vidello earnout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Failed acquisition costs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18,045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9,019</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521"/>
        </w:trPr>
        <w:tc>
          <w:tcPr>
            <w:tcW w:w="1220" w:type="dxa"/>
            <w:vAlign w:val="bottom"/>
            <w:tcBorders>
              <w:top w:val="single" w:sz="8" w:color="CFF0FC"/>
            </w:tcBorders>
          </w:tcPr>
          <w:p>
            <w:pPr>
              <w:spacing w:after="0"/>
              <w:rPr>
                <w:sz w:val="24"/>
                <w:szCs w:val="24"/>
                <w:color w:val="auto"/>
              </w:rPr>
            </w:pPr>
          </w:p>
        </w:tc>
        <w:tc>
          <w:tcPr>
            <w:tcW w:w="4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-6154420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-6154420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-6154420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-5588635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-5588635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-5588635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-5297170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-5297170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-5297170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-1447800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-1447800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-1447800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-1156335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-1156335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-1156335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-865505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-847725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-865505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-847725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-865505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-847725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The percentage changes included in the tables herein that are not considered meaningful are presented as “nm."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2025 and 2024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320" w:type="dxa"/>
            <w:vAlign w:val="bottom"/>
            <w:gridSpan w:val="2"/>
            <w:vMerge w:val="continue"/>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516"/>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980" w:type="dxa"/>
            <w:vAlign w:val="bottom"/>
            <w:gridSpan w:val="2"/>
          </w:tcPr>
          <w:p>
            <w:pPr>
              <w:jc w:val="right"/>
              <w:ind w:right="4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556"/>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635"/>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3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12,161</w:t>
            </w:r>
          </w:p>
        </w:tc>
        <w:tc>
          <w:tcPr>
            <w:tcW w:w="980" w:type="dxa"/>
            <w:vAlign w:val="bottom"/>
            <w:gridSpan w:val="2"/>
            <w:shd w:val="clear" w:color="auto" w:fill="CFF0FC"/>
          </w:tcPr>
          <w:p>
            <w:pPr>
              <w:jc w:val="right"/>
              <w:ind w:right="7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4,528</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7,633</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100" w:type="dxa"/>
            <w:vAlign w:val="bottom"/>
          </w:tcPr>
          <w:p>
            <w:pPr>
              <w:spacing w:after="0"/>
              <w:rPr>
                <w:sz w:val="18"/>
                <w:szCs w:val="18"/>
                <w:color w:val="auto"/>
              </w:rPr>
            </w:pPr>
          </w:p>
        </w:tc>
        <w:tc>
          <w:tcPr>
            <w:tcW w:w="2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20" w:type="dxa"/>
            <w:vAlign w:val="bottom"/>
            <w:gridSpan w:val="2"/>
            <w:vMerge w:val="continue"/>
          </w:tcPr>
          <w:p>
            <w:pPr>
              <w:spacing w:after="0"/>
              <w:rPr>
                <w:sz w:val="15"/>
                <w:szCs w:val="15"/>
                <w:color w:val="auto"/>
              </w:rPr>
            </w:pPr>
          </w:p>
        </w:tc>
        <w:tc>
          <w:tcPr>
            <w:tcW w:w="2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560" w:type="dxa"/>
            <w:vAlign w:val="bottom"/>
          </w:tcPr>
          <w:p>
            <w:pPr>
              <w:spacing w:after="0"/>
              <w:rPr>
                <w:sz w:val="15"/>
                <w:szCs w:val="15"/>
                <w:color w:val="auto"/>
              </w:rPr>
            </w:pPr>
          </w:p>
        </w:tc>
        <w:tc>
          <w:tcPr>
            <w:tcW w:w="9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556"/>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635"/>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Cost of revenue</w:t>
            </w:r>
          </w:p>
        </w:tc>
        <w:tc>
          <w:tcPr>
            <w:tcW w:w="2940" w:type="dxa"/>
            <w:vAlign w:val="bottom"/>
            <w:gridSpan w:val="2"/>
            <w:shd w:val="clear" w:color="auto" w:fill="CFF0FC"/>
          </w:tcPr>
          <w:p>
            <w:pPr>
              <w:jc w:val="right"/>
              <w:ind w:right="6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2,189</w:t>
            </w:r>
          </w:p>
        </w:tc>
        <w:tc>
          <w:tcPr>
            <w:tcW w:w="980" w:type="dxa"/>
            <w:vAlign w:val="bottom"/>
            <w:gridSpan w:val="2"/>
            <w:shd w:val="clear" w:color="auto" w:fill="CFF0FC"/>
          </w:tcPr>
          <w:p>
            <w:pPr>
              <w:jc w:val="right"/>
              <w:ind w:right="7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1,423</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100" w:type="dxa"/>
            <w:vAlign w:val="bottom"/>
          </w:tcPr>
          <w:p>
            <w:pPr>
              <w:spacing w:after="0"/>
              <w:rPr>
                <w:sz w:val="18"/>
                <w:szCs w:val="18"/>
                <w:color w:val="auto"/>
              </w:rPr>
            </w:pPr>
          </w:p>
        </w:tc>
        <w:tc>
          <w:tcPr>
            <w:tcW w:w="2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20" w:type="dxa"/>
            <w:vAlign w:val="bottom"/>
            <w:gridSpan w:val="2"/>
            <w:vMerge w:val="continue"/>
          </w:tcPr>
          <w:p>
            <w:pPr>
              <w:spacing w:after="0"/>
              <w:rPr>
                <w:sz w:val="15"/>
                <w:szCs w:val="15"/>
                <w:color w:val="auto"/>
              </w:rPr>
            </w:pPr>
          </w:p>
        </w:tc>
        <w:tc>
          <w:tcPr>
            <w:tcW w:w="210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560" w:type="dxa"/>
            <w:vAlign w:val="bottom"/>
          </w:tcPr>
          <w:p>
            <w:pPr>
              <w:spacing w:after="0"/>
              <w:rPr>
                <w:sz w:val="15"/>
                <w:szCs w:val="15"/>
                <w:color w:val="auto"/>
              </w:rPr>
            </w:pPr>
          </w:p>
        </w:tc>
        <w:tc>
          <w:tcPr>
            <w:tcW w:w="9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556"/>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635"/>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2940" w:type="dxa"/>
            <w:vAlign w:val="bottom"/>
            <w:gridSpan w:val="2"/>
            <w:shd w:val="clear" w:color="auto" w:fill="CFF0FC"/>
          </w:tcPr>
          <w:p>
            <w:pPr>
              <w:jc w:val="right"/>
              <w:ind w:right="6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9,972</w:t>
            </w:r>
          </w:p>
        </w:tc>
        <w:tc>
          <w:tcPr>
            <w:tcW w:w="980" w:type="dxa"/>
            <w:vAlign w:val="bottom"/>
            <w:gridSpan w:val="2"/>
            <w:shd w:val="clear" w:color="auto" w:fill="CFF0FC"/>
          </w:tcPr>
          <w:p>
            <w:pPr>
              <w:jc w:val="right"/>
              <w:ind w:right="7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3,105</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6,867</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62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516"/>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94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556"/>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635"/>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20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28,437</w:t>
            </w:r>
          </w:p>
        </w:tc>
        <w:tc>
          <w:tcPr>
            <w:tcW w:w="940" w:type="dxa"/>
            <w:vAlign w:val="bottom"/>
            <w:gridSpan w:val="2"/>
            <w:shd w:val="clear" w:color="auto" w:fill="CFF0FC"/>
          </w:tcPr>
          <w:p>
            <w:pPr>
              <w:jc w:val="right"/>
              <w:ind w:right="7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6"/>
              </w:rPr>
              <w:t>16,573</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11,864</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62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515"/>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35"/>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556"/>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635"/>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other expenses, net</w:t>
            </w:r>
          </w:p>
        </w:tc>
        <w:tc>
          <w:tcPr>
            <w:tcW w:w="19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3,968</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18,045</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(14,077)</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540"/>
        </w:trPr>
        <w:tc>
          <w:tcPr>
            <w:tcW w:w="1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6" w:name="page47"/>
    <w:bookmarkEnd w:id="46"/>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reported total other income of approximately $4.0 million. The change in other expenses (income), net was primarily driven by the following:</w:t>
      </w:r>
    </w:p>
    <w:p>
      <w:pPr>
        <w:spacing w:after="0" w:line="270"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expense of approximately $2.4 million recognized during the year ended December 31, 2025 compared to $3.0 million during the year ended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liabilities of approximately $4.5 million recognized during the year ended December 31, 2025 compared to $0.7 million recognized during the year ended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debt of approximately $0.4 million during the year ended December 31, 2025 compared to $0.7 million during the year ended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Private Placement Issuance of debt of approximately $4.9 million during the year ended December 31, 2025.</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net of approximately $2.4 million during the year ended December 31, 2025 compared to $1.1 million during the year ended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convertible notes was a gain of approximately $2.0 million during the year ended December 31, 2025 compared to a loss of approximately $0.7 million during the year ended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SEPA advances to Yorkville of approximately $1.0 million during the year ended December 31,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terminated Act-On acquisition of $1.4 million during the year ended December 31,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CP BF notes of approximately $6.5 million during the year ended December 31,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Alco promissory notes of approximately $4.8 million during the year ended December 31,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loss associated with the OpenReel acquisition of approximately $2.7 million during the year ended December 31, 2024.</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000" w:type="dxa"/>
            <w:vAlign w:val="bottom"/>
          </w:tcPr>
          <w:p>
            <w:pPr>
              <w:spacing w:after="0"/>
              <w:rPr>
                <w:sz w:val="18"/>
                <w:szCs w:val="18"/>
                <w:color w:val="auto"/>
              </w:rPr>
            </w:pPr>
          </w:p>
        </w:tc>
        <w:tc>
          <w:tcPr>
            <w:tcW w:w="25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20" w:type="dxa"/>
            <w:vAlign w:val="bottom"/>
            <w:gridSpan w:val="2"/>
            <w:vMerge w:val="continue"/>
          </w:tcPr>
          <w:p>
            <w:pPr>
              <w:spacing w:after="0"/>
              <w:rPr>
                <w:sz w:val="15"/>
                <w:szCs w:val="15"/>
                <w:color w:val="auto"/>
              </w:rPr>
            </w:pPr>
          </w:p>
        </w:tc>
        <w:tc>
          <w:tcPr>
            <w:tcW w:w="2000" w:type="dxa"/>
            <w:vAlign w:val="bottom"/>
          </w:tcPr>
          <w:p>
            <w:pPr>
              <w:spacing w:after="0"/>
              <w:rPr>
                <w:sz w:val="15"/>
                <w:szCs w:val="15"/>
                <w:color w:val="auto"/>
              </w:rPr>
            </w:pPr>
          </w:p>
        </w:tc>
        <w:tc>
          <w:tcPr>
            <w:tcW w:w="9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460" w:type="dxa"/>
            <w:vAlign w:val="bottom"/>
          </w:tcPr>
          <w:p>
            <w:pPr>
              <w:spacing w:after="0"/>
              <w:rPr>
                <w:sz w:val="15"/>
                <w:szCs w:val="15"/>
                <w:color w:val="auto"/>
              </w:rPr>
            </w:pPr>
          </w:p>
        </w:tc>
        <w:tc>
          <w:tcPr>
            <w:tcW w:w="110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635"/>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Income tax expense</w:t>
            </w:r>
          </w:p>
        </w:tc>
        <w:tc>
          <w:tcPr>
            <w:tcW w:w="2940" w:type="dxa"/>
            <w:vAlign w:val="bottom"/>
            <w:gridSpan w:val="2"/>
            <w:shd w:val="clear" w:color="auto" w:fill="CFF0FC"/>
          </w:tcPr>
          <w:p>
            <w:pPr>
              <w:jc w:val="right"/>
              <w:ind w:right="7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100" w:type="dxa"/>
            <w:vAlign w:val="bottom"/>
            <w:gridSpan w:val="2"/>
            <w:shd w:val="clear" w:color="auto" w:fill="CFF0FC"/>
          </w:tcPr>
          <w:p>
            <w:pPr>
              <w:jc w:val="right"/>
              <w:ind w:right="9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519"/>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1614.3%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2025, we had no unrecognized tax benefits that would impact our effective tax rate if 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in an estimate, if any, will be reflected in the consolidated financial statements prospectively from the date of the change in the estimate.</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87"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spacing w:after="0" w:line="15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spacing w:after="0" w:line="14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market capitalization method calculated the aggregate market value of the Company based on the total number of outstanding shares of common and preferred stock and the market prices of the shares as of the assessment date.</w:t>
      </w:r>
    </w:p>
    <w:p>
      <w:pPr>
        <w:spacing w:after="0" w:line="16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results of the quantitative assessment indicated that the fair value of each of the Company's reporting units exceeded its carrying value, therefore no goodwill impairment was recognized for the year ended December 31, 2025.</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estimates under the Fair Value Option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spacing w:after="0" w:line="1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117" w:lineRule="exact"/>
        <w:rPr>
          <w:rFonts w:ascii="Times New Roman" w:cs="Times New Roman" w:eastAsia="Times New Roman" w:hAnsi="Times New Roman"/>
          <w:sz w:val="18"/>
          <w:szCs w:val="18"/>
          <w:color w:val="auto"/>
        </w:rPr>
      </w:pPr>
    </w:p>
    <w:p>
      <w:pPr>
        <w:ind w:left="5540" w:right="220" w:hanging="5023"/>
        <w:spacing w:after="0" w:line="407" w:lineRule="auto"/>
        <w:tabs>
          <w:tab w:leader="none" w:pos="10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 and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9" w:name="page50"/>
    <w:bookmarkEnd w:id="49"/>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780" w:type="dxa"/>
            <w:vAlign w:val="bottom"/>
          </w:tcPr>
          <w:p>
            <w:pPr>
              <w:spacing w:after="0"/>
              <w:rPr>
                <w:sz w:val="18"/>
                <w:szCs w:val="18"/>
                <w:color w:val="auto"/>
              </w:rPr>
            </w:pPr>
          </w:p>
        </w:tc>
        <w:tc>
          <w:tcPr>
            <w:tcW w:w="23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40" w:type="dxa"/>
            <w:vAlign w:val="bottom"/>
            <w:gridSpan w:val="2"/>
            <w:vMerge w:val="continue"/>
          </w:tcPr>
          <w:p>
            <w:pPr>
              <w:spacing w:after="0"/>
              <w:rPr>
                <w:sz w:val="15"/>
                <w:szCs w:val="15"/>
                <w:color w:val="auto"/>
              </w:rPr>
            </w:pPr>
          </w:p>
        </w:tc>
        <w:tc>
          <w:tcPr>
            <w:tcW w:w="178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600" w:type="dxa"/>
            <w:vAlign w:val="bottom"/>
          </w:tcPr>
          <w:p>
            <w:pPr>
              <w:spacing w:after="0"/>
              <w:rPr>
                <w:sz w:val="15"/>
                <w:szCs w:val="15"/>
                <w:color w:val="auto"/>
              </w:rPr>
            </w:pPr>
          </w:p>
        </w:tc>
        <w:tc>
          <w:tcPr>
            <w:tcW w:w="96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556"/>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635"/>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EBITDA (Loss)</w:t>
            </w:r>
          </w:p>
        </w:tc>
        <w:tc>
          <w:tcPr>
            <w:tcW w:w="2580" w:type="dxa"/>
            <w:vAlign w:val="bottom"/>
            <w:gridSpan w:val="2"/>
            <w:shd w:val="clear" w:color="auto" w:fill="CFF0FC"/>
          </w:tcPr>
          <w:p>
            <w:pPr>
              <w:jc w:val="right"/>
              <w:ind w:right="61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(7,267)</w:t>
            </w:r>
          </w:p>
        </w:tc>
        <w:tc>
          <w:tcPr>
            <w:tcW w:w="960" w:type="dxa"/>
            <w:vAlign w:val="bottom"/>
            <w:gridSpan w:val="2"/>
            <w:shd w:val="clear" w:color="auto" w:fill="CFF0FC"/>
          </w:tcPr>
          <w:p>
            <w:pPr>
              <w:jc w:val="right"/>
              <w:ind w:right="7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(6,506)</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480"/>
              <w:spacing w:after="0" w:line="196" w:lineRule="exact"/>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Adjusted EBITDA decrease is primarily attributable to increased general and administrative expenses.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to Adjusted EBITDA Reconciliation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0" w:type="dxa"/>
            <w:vAlign w:val="bottom"/>
          </w:tcPr>
          <w:p>
            <w:pPr>
              <w:spacing w:after="0"/>
              <w:rPr>
                <w:sz w:val="1"/>
                <w:szCs w:val="1"/>
                <w:color w:val="auto"/>
              </w:rPr>
            </w:pPr>
          </w:p>
        </w:tc>
      </w:tr>
      <w:tr>
        <w:trPr>
          <w:trHeight w:val="172"/>
        </w:trPr>
        <w:tc>
          <w:tcPr>
            <w:tcW w:w="5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511"/>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3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551"/>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520" w:type="dxa"/>
            <w:vAlign w:val="bottom"/>
            <w:gridSpan w:val="2"/>
          </w:tcPr>
          <w:p>
            <w:pPr>
              <w:jc w:val="right"/>
              <w:ind w:right="63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(22,494)</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(31,513)</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9,019</w:t>
            </w:r>
          </w:p>
        </w:tc>
        <w:tc>
          <w:tcPr>
            <w:tcW w:w="15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6"/>
              </w:rPr>
              <w:t>nm</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4691.7%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GEM commitment fee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4,874</w:t>
            </w:r>
          </w:p>
        </w:tc>
        <w:tc>
          <w:tcPr>
            <w:tcW w:w="1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52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Loss on conversion and settlement of Alco promissory notes - related</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party</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98"/>
        </w:trPr>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bifurcated embedded derivative assets – related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Vidello earnout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Failed acquisition costs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5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520"/>
        </w:trPr>
        <w:tc>
          <w:tcPr>
            <w:tcW w:w="1220" w:type="dxa"/>
            <w:vAlign w:val="bottom"/>
            <w:tcBorders>
              <w:top w:val="single" w:sz="8" w:color="CFF0FC"/>
            </w:tcBorders>
          </w:tcPr>
          <w:p>
            <w:pPr>
              <w:spacing w:after="0"/>
              <w:rPr>
                <w:sz w:val="24"/>
                <w:szCs w:val="24"/>
                <w:color w:val="auto"/>
              </w:rPr>
            </w:pPr>
          </w:p>
        </w:tc>
        <w:tc>
          <w:tcPr>
            <w:tcW w:w="40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1011"/>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-864870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-847725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-864870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-847725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-864870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-847725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color w:val="auto"/>
        </w:rPr>
        <w:t>* Transaction related expenses include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660" w:type="dxa"/>
            <w:vAlign w:val="bottom"/>
          </w:tcPr>
          <w:p>
            <w:pPr>
              <w:spacing w:after="0"/>
              <w:rPr>
                <w:sz w:val="18"/>
                <w:szCs w:val="18"/>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6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560" w:type="dxa"/>
            <w:vAlign w:val="bottom"/>
          </w:tcPr>
          <w:p>
            <w:pPr>
              <w:spacing w:after="0"/>
              <w:rPr>
                <w:sz w:val="15"/>
                <w:szCs w:val="15"/>
                <w:color w:val="auto"/>
              </w:rPr>
            </w:pPr>
          </w:p>
        </w:tc>
        <w:tc>
          <w:tcPr>
            <w:tcW w:w="9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553"/>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632"/>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Professional fees - audit</w:t>
            </w:r>
          </w:p>
        </w:tc>
        <w:tc>
          <w:tcPr>
            <w:tcW w:w="2500" w:type="dxa"/>
            <w:vAlign w:val="bottom"/>
            <w:gridSpan w:val="2"/>
            <w:shd w:val="clear" w:color="auto" w:fill="CFF0FC"/>
          </w:tcPr>
          <w:p>
            <w:pPr>
              <w:jc w:val="right"/>
              <w:ind w:right="6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801</w:t>
            </w:r>
          </w:p>
        </w:tc>
        <w:tc>
          <w:tcPr>
            <w:tcW w:w="980" w:type="dxa"/>
            <w:vAlign w:val="bottom"/>
            <w:gridSpan w:val="2"/>
            <w:shd w:val="clear" w:color="auto" w:fill="CFF0FC"/>
          </w:tcPr>
          <w:p>
            <w:pPr>
              <w:jc w:val="right"/>
              <w:ind w:right="6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499</w:t>
            </w:r>
          </w:p>
        </w:tc>
        <w:tc>
          <w:tcPr>
            <w:tcW w:w="420" w:type="dxa"/>
            <w:vAlign w:val="bottom"/>
            <w:gridSpan w:val="2"/>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 legal</w:t>
            </w: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Incremental accounting</w:t>
            </w:r>
          </w:p>
        </w:tc>
        <w:tc>
          <w:tcPr>
            <w:tcW w:w="16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study, M&amp;A support</w:t>
            </w:r>
          </w:p>
        </w:tc>
        <w:tc>
          <w:tcPr>
            <w:tcW w:w="16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3,543</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6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consolidated financial statements have been prepared assuming Banzai will continue as a going concern, which contemplates the realization of assets and satisfaction of liabilities in the normal course of business.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 w:cs="Times New Roman" w:eastAsia="Times New Roman" w:hAnsi="Times New Roman"/>
          <w:sz w:val="18"/>
          <w:szCs w:val="18"/>
          <w:i w:val="1"/>
          <w:iCs w:val="1"/>
          <w:color w:val="auto"/>
        </w:rPr>
        <w:t>Note 2 –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Concern </w:t>
      </w:r>
      <w:r>
        <w:rPr>
          <w:rFonts w:ascii="Times New Roman" w:cs="Times New Roman" w:eastAsia="Times New Roman" w:hAnsi="Times New Roman"/>
          <w:sz w:val="18"/>
          <w:szCs w:val="18"/>
          <w:color w:val="auto"/>
        </w:rPr>
        <w:t>to our consolidated financial statements in this Report.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and sources of liquidity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xml:space="preserve"> to our consolidated financial statements in this Report for further discussion of these arrangements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spacing w:after="0" w:line="183"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We may seek to raise additional capital through a combination of debt and equity financings, including continued use of our at-the-market facility and our SEPA, to support our operations and expansion through acquisition.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flows for the years ended December 31, 2025 and 2024. See also our consolidated statement of cash flows in this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Year-over-Year</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2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531"/>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631"/>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(22,492)</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(31,513)</w:t>
            </w:r>
          </w:p>
        </w:tc>
        <w:tc>
          <w:tcPr>
            <w:tcW w:w="740" w:type="dxa"/>
            <w:vAlign w:val="bottom"/>
            <w:gridSpan w:val="2"/>
            <w:shd w:val="clear" w:color="auto" w:fill="CFF0FC"/>
          </w:tcPr>
          <w:p>
            <w:pPr>
              <w:jc w:val="right"/>
              <w:ind w:right="4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9,021</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8,487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9,147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2025</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 was primarily related to our acquisition of Vidello.</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2024</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$0.1 million for the year ended December 31, 2024 and was related to cash acquired in the acquisition of OpenReel.</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Structure, Debt Maturity Profile, Contractual Obligations and Commitments</w:t>
      </w:r>
    </w:p>
    <w:p>
      <w:pPr>
        <w:spacing w:after="0" w:line="229" w:lineRule="exact"/>
        <w:rPr>
          <w:sz w:val="20"/>
          <w:szCs w:val="20"/>
          <w:color w:val="auto"/>
        </w:rPr>
      </w:pPr>
    </w:p>
    <w:p>
      <w:pPr>
        <w:jc w:val="both"/>
        <w:ind w:right="280" w:firstLine="449"/>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Total Principal</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51"/>
              <w:spacing w:after="0"/>
              <w:rPr>
                <w:sz w:val="20"/>
                <w:szCs w:val="20"/>
                <w:color w:val="auto"/>
              </w:rPr>
            </w:pPr>
            <w:r>
              <w:rPr>
                <w:rFonts w:ascii="Times New Roman" w:cs="Times New Roman" w:eastAsia="Times New Roman" w:hAnsi="Times New Roman"/>
                <w:sz w:val="16"/>
                <w:szCs w:val="16"/>
                <w:b w:val="1"/>
                <w:bCs w:val="1"/>
                <w:i w:val="1"/>
                <w:iCs w:val="1"/>
                <w:color w:val="auto"/>
              </w:rPr>
              <w:t>and Accrued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i w:val="1"/>
                <w:iCs w:val="1"/>
                <w:color w:val="auto"/>
              </w:rPr>
              <w:t>Less than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i w:val="1"/>
                <w:iCs w:val="1"/>
                <w:color w:val="auto"/>
              </w:rPr>
              <w:t>Principal</w:t>
            </w:r>
          </w:p>
        </w:tc>
        <w:tc>
          <w:tcPr>
            <w:tcW w:w="100" w:type="dxa"/>
            <w:vAlign w:val="bottom"/>
          </w:tcPr>
          <w:p>
            <w:pPr>
              <w:spacing w:after="0"/>
              <w:rPr>
                <w:sz w:val="16"/>
                <w:szCs w:val="16"/>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i w:val="1"/>
                <w:iCs w:val="1"/>
                <w:color w:val="auto"/>
              </w:rPr>
              <w:t>Accrued Interest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i w:val="1"/>
                <w:iCs w:val="1"/>
                <w:color w:val="auto"/>
              </w:rPr>
              <w:t>Interest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i w:val="1"/>
                <w:iCs w:val="1"/>
                <w:color w:val="auto"/>
              </w:rPr>
              <w:t>year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i w:val="1"/>
                <w:iCs w:val="1"/>
                <w:color w:val="auto"/>
              </w:rPr>
              <w:t>1 - 3 Years</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Debt principal – 15.5% CP BF convertible notes</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3,365</w:t>
            </w:r>
          </w:p>
        </w:tc>
        <w:tc>
          <w:tcPr>
            <w:tcW w:w="540" w:type="dxa"/>
            <w:vAlign w:val="bottom"/>
            <w:gridSpan w:val="2"/>
            <w:shd w:val="clear" w:color="auto" w:fill="CFF0FC"/>
          </w:tcPr>
          <w:p>
            <w:pPr>
              <w:jc w:val="right"/>
              <w:ind w:right="2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1,558</w:t>
            </w:r>
          </w:p>
        </w:tc>
        <w:tc>
          <w:tcPr>
            <w:tcW w:w="28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4,923</w:t>
            </w: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4,923</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Agile</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 Private Placement convertible notes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Yorkville</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 1800 Diagonal</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Boot Capital</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1"/>
        </w:trPr>
        <w:tc>
          <w:tcPr>
            <w:tcW w:w="4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9,003</w:t>
            </w:r>
          </w:p>
        </w:tc>
        <w:tc>
          <w:tcPr>
            <w:tcW w:w="54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1,836</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10,839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5,888</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4,951</w:t>
            </w:r>
          </w:p>
        </w:tc>
        <w:tc>
          <w:tcPr>
            <w:tcW w:w="0" w:type="dxa"/>
            <w:vAlign w:val="bottom"/>
          </w:tcPr>
          <w:p>
            <w:pPr>
              <w:spacing w:after="0"/>
              <w:rPr>
                <w:sz w:val="1"/>
                <w:szCs w:val="1"/>
                <w:color w:val="auto"/>
              </w:rPr>
            </w:pPr>
          </w:p>
        </w:tc>
      </w:tr>
      <w:tr>
        <w:trPr>
          <w:trHeight w:val="194"/>
        </w:trPr>
        <w:tc>
          <w:tcPr>
            <w:tcW w:w="4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requirements at December 31, 2025</w:t>
            </w:r>
          </w:p>
        </w:tc>
        <w:tc>
          <w:tcPr>
            <w:tcW w:w="1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-282575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-282575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-282575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-282575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recognized revenue.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an operating lease for office space. The lease term expires in October 2027. The lease liability balance as of December 31, 2025 represents the future minimum lease payments under non-cancellable leases as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Banzai had no off-balance sheet arrangements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Compliance</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As more fully described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above, we effected the September Stock Split during 2024 and the July Stock Split during 2025, which were 1-for-50 and 1-for-10, respectively, in order to regain compliance with Nasdaq Rules. In addition, as previously disclosed, due to prior noncompliance with certain Nasdaq Rules, we had a hearing before the Nasdaq Panel during 2024, after which, our Class A Common Stock was phased down from the Nasdaq Global Market to the Nasdaq Capital Market. We received additional letters from Nasdaq regarding noncompliance with certain Nasdaq Rules, and were subsequently notified by Nasdaq during 2024 and 2025 that we have regained compliance with all Nasdaq Rules and therefore our securities remain listed on The Nasdaq Capital Market. However, there can be no assurance that we will be able to maintain compliance with Nasdaq listing standards.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is not applicable as we are a smaller reporting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8 is included at the end of this Report beginning on page F-1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Based on an evaluation of our disclosure controls and procedures (as defined in Rules 13a-15(e) and 15d-15(e) of the Securities Exchange Act of 1934, as amended) required by paragraph (b) of Rule 13a-15 or Rule 15d-15, as of December 31, 2025, our Principal Executive Officer and Principal Financial Officer have concluded that, due to the material weaknesses in our internal control over financial reporting noted below, our disclosure controls and procedures were not effective.</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the design and operation of our “disclosure controls and procedures,” as such term is defined in Rule 13a-15(e) or Rule 15d-15(e) promulgated under the Exchange Act as of the end of the period covered by this report. Based upon that evaluation, our Chief Executive Officer and Chief Financial Officer have concluded that our disclosure controls and procedures were not effective as of December 31, 2025, to provide reasonable assurance that material information required to be disclosed by us in reports that we file or submit under the Exchange Act is recorded, processed, summarized and reported within the time periods specified in SEC rules and forms due to the material weaknesses in our IT General Controls, adherence to the COSO Integrated Framework, and period end financial close and reporting process as described in our Annual Report on Form 10-K for the year ended December 31, 2024, as filed with the SEC on April 15, 2025 (the “2024 10-K").</w:t>
      </w:r>
    </w:p>
    <w:p>
      <w:pPr>
        <w:spacing w:after="0" w:line="19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committed to the remediation of the material weaknesses as well as the continued improvement of our internal control over financial reporting. We are in the process of taking steps to remediate the identified material weaknesses and continue to evaluate our internal controls over financial reporting, as disclosed in the 2024 10-K.</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we continue our evaluation and improve our internal control over financial reporting, management may identify and take additional measures to address control deficiencies. We cannot assure you that we will be successful in remediating the material weaknesses in a timely manner.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by the Securities and Exchange Commission,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accounting principles generally accepted in the United States of America.</w:t>
      </w:r>
    </w:p>
    <w:p>
      <w:pPr>
        <w:spacing w:after="0" w:line="15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internal control system was designed to provide reasonable assurances to our management and the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 In making this assessment, management used the criteria set forth by the Committee of Sponsoring Organizations of the Treadway Commission in Internal Control — Integrated Framework (2013). The COSO Framework summarizes each of the components of a company’s internal control system, including (i) the control environment, (ii) risk assessment, (iii) control activities, (iv) information and communication, and (v) monitoring.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4" w:name="page55"/>
    <w:bookmarkEnd w:id="54"/>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Based on that evaluation, as of December 31, 2025, our principal executive officer and principal financial officer concluded that our internal controls and procedures are not effective, and that we have material weaknesses in our IT General Controls, adherence to the COSO Integrated Framework, and period end financial close and reporting process as described below. As a result, these control deficiencies could have resulted in a material misstatement in our financial statements that would not be prevented or detected on a timely basis.</w:t>
      </w:r>
    </w:p>
    <w:p>
      <w:pPr>
        <w:spacing w:after="0" w:line="153" w:lineRule="exact"/>
        <w:rPr>
          <w:sz w:val="20"/>
          <w:szCs w:val="20"/>
          <w:color w:val="auto"/>
        </w:rPr>
      </w:pPr>
    </w:p>
    <w:p>
      <w:pPr>
        <w:ind w:right="20" w:firstLine="457"/>
        <w:spacing w:after="0" w:line="282" w:lineRule="auto"/>
        <w:tabs>
          <w:tab w:leader="none" w:pos="7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General Controls - We did not maintain an effective IT control environment because we did not maintain sufficient provisioning, deprovisioning, user access reviews, and reviews of service organizations.</w:t>
      </w:r>
    </w:p>
    <w:p>
      <w:pPr>
        <w:spacing w:after="0" w:line="161" w:lineRule="exact"/>
        <w:rPr>
          <w:rFonts w:ascii="Times New Roman" w:cs="Times New Roman" w:eastAsia="Times New Roman" w:hAnsi="Times New Roman"/>
          <w:sz w:val="18"/>
          <w:szCs w:val="18"/>
          <w:color w:val="auto"/>
        </w:rPr>
      </w:pPr>
    </w:p>
    <w:p>
      <w:pPr>
        <w:ind w:firstLine="457"/>
        <w:spacing w:after="0" w:line="282" w:lineRule="auto"/>
        <w:tabs>
          <w:tab w:leader="none" w:pos="7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COSO Entity Level Controls - We did not maintain effective controls over the identification and monitoring of related party relationships and transactions and have not yet implemented a formal delegation of authority process.</w:t>
      </w:r>
    </w:p>
    <w:p>
      <w:pPr>
        <w:spacing w:after="0" w:line="161" w:lineRule="exact"/>
        <w:rPr>
          <w:rFonts w:ascii="Times New Roman" w:cs="Times New Roman" w:eastAsia="Times New Roman" w:hAnsi="Times New Roman"/>
          <w:sz w:val="18"/>
          <w:szCs w:val="18"/>
          <w:color w:val="auto"/>
        </w:rPr>
      </w:pPr>
    </w:p>
    <w:p>
      <w:pPr>
        <w:jc w:val="both"/>
        <w:ind w:firstLine="457"/>
        <w:spacing w:after="0" w:line="266" w:lineRule="auto"/>
        <w:tabs>
          <w:tab w:leader="none" w:pos="7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end financial close and reporting - Administrative access to the General Ledger (GL) system is not restricted to non-financial reporting users, creating a potential segregation of duties conflict. Given the concentration of responsibility includes approval of key transactions, bank account reconciliations, and journal entries, administrative access to the G/L system should be restricted to personnel outside of Accounting and Finance function.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committed to the remediation of the material weaknesses described above, as well as the continued improvement of our internal control over financial reporting. We remain in the process of taking steps to remediate the identified material weaknesses and continue to evaluate our internal controls over financial reporting, including the following: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 General Controls:</w:t>
      </w:r>
    </w:p>
    <w:p>
      <w:pPr>
        <w:spacing w:after="0" w:line="119" w:lineRule="exact"/>
        <w:rPr>
          <w:sz w:val="20"/>
          <w:szCs w:val="20"/>
          <w:color w:val="auto"/>
        </w:rPr>
      </w:pPr>
    </w:p>
    <w:p>
      <w:pPr>
        <w:jc w:val="both"/>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utilize the services of external consultants to review our internal controls environment and make recommendations to remediate the material weaknesses in our financial reporting, including the remediation of the design of controls over provisioning, deprovisioning, access monitoring, and reviews of service organizations and complementary user entity controls.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COSO Entity Level Controls:</w:t>
      </w:r>
    </w:p>
    <w:p>
      <w:pPr>
        <w:spacing w:after="0" w:line="119" w:lineRule="exact"/>
        <w:rPr>
          <w:sz w:val="20"/>
          <w:szCs w:val="20"/>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utilize the services of external consultants to assist enhancement and robustness of entity level controls, leveraging the formal COSO mapping and maintenance of entity level controls currently being performed.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we will continue with the process of implementing controls to identify and monitor related party relationships and transactions and to finalize a formal delegation of authority process.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 End Financial Close and Reporting:</w:t>
      </w:r>
    </w:p>
    <w:p>
      <w:pPr>
        <w:spacing w:after="0" w:line="119" w:lineRule="exact"/>
        <w:rPr>
          <w:sz w:val="20"/>
          <w:szCs w:val="20"/>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conduct an assessment, and where necessary perform remedial actions, of our overall security role design and privileged user access for each of our in-scope applications, including our general ledger system.</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we continue our evaluation and improve our internal control over financial reporting, management may identify and take additional measures to address control deficiencies but cannot provide absolute assurance that we will be successful in remediating the material weaknesses in a timely manner.</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Report does not include an attestation report of our independent registered public accounting firm regarding internal control over financial reporting. Management’s report was not subject to attestation by our independent registered public accounting firm pursuant to exemptions provided to issuers that are non-accelerated filers as defined in Section 2(a) of the Securities Act of 1933.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required by Rule 13a-15(d) of the Exchange Act, our management, including our principal executive officer and our principal financial officer, evaluated whether any changes in our internal control over financial reporting occurred during the quarter ended December 31, 2025 that have materially affected, or are reasonably likely to materially affect, our internal control over financial reporting. Based on that evaluation, our principal executive officer and principal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financial officer concluded that the merger transaction with Vidello is considered a significant corporate event during the year ended December 31, 2025.</w:t>
      </w:r>
    </w:p>
    <w:p>
      <w:pPr>
        <w:spacing w:after="0" w:line="22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January 31, 2025, our company closed and completed a merger with Vidello Limited ("Vidello"), a private limited company registered in England and Wales, pursuant to an Agreement and Plan of Merger (the "Vidello Merger Agreement"), dated December 19, 2024, by and among the Company, Vidello, and certain shareholders of Vidello (the "Vidello Shareholders"). As a result, there have been material changes to our internal control environment. Our management has begun to assess and adjust our internal control processes to accommodate the integration of systems, personnel, and financial reporting functions. We will work on implementing additional controls to address the combined entity’s financial reporting requirements, ensuring accuracy, reliability, and compliance. While we believe these adjustments will enhance our overall control framework, we continue to monitor and evaluate their effectiveness to maintain the highest standards of financial reporting integrity.</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Other than the changes noted above regarding our steps to remediate our material weaknesses and the Vidello merger, there were no other changes in our internal control over financial reporting (as the term is defined in Rules 13a-15(f) and 15d-15(f) under the Exchange Act) during the year ended December 31, 2025 that have materially affected, or is reasonably likely to materially affect, the Company’s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nothing that the Company would be required to report on Form 8-K during the fourth quarter of the year covered by this Form 10-K that the Company has not reported on a Form 8-K.</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December 31, 2025, none of our officers or directors, as defined in Rule 16a-1(f), informed us of the adoption, modification, or termination of any “Rule 10b5-1 trading arrangement” or a “non-Rule 10b5-1 trading arrangement,” as those terms are defined in Item 408 of Regulation S-K.</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our securities by directors, officers, employees, and the Company itself, that are reasonably designed to promote compliance with insider trading laws, rules and regulations and listing standards.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as of the date of this Report, the name, age, and position of each director and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200" w:type="dxa"/>
            <w:vAlign w:val="bottom"/>
          </w:tcPr>
          <w:p>
            <w:pPr>
              <w:spacing w:after="0"/>
              <w:rPr>
                <w:sz w:val="17"/>
                <w:szCs w:val="17"/>
                <w:color w:val="auto"/>
              </w:rPr>
            </w:pPr>
          </w:p>
        </w:tc>
        <w:tc>
          <w:tcPr>
            <w:tcW w:w="616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Davy</w:t>
            </w:r>
          </w:p>
        </w:tc>
        <w:tc>
          <w:tcPr>
            <w:tcW w:w="13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36</w:t>
            </w:r>
          </w:p>
        </w:tc>
        <w:tc>
          <w:tcPr>
            <w:tcW w:w="2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Chairman and Director</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Dean Ditto</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Baumer</w:t>
            </w:r>
          </w:p>
        </w:tc>
        <w:tc>
          <w:tcPr>
            <w:tcW w:w="13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Jack Leeney</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41</w:t>
            </w:r>
          </w:p>
        </w:tc>
        <w:tc>
          <w:tcPr>
            <w:tcW w:w="2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Mason Ward</w:t>
            </w:r>
          </w:p>
        </w:tc>
        <w:tc>
          <w:tcPr>
            <w:tcW w:w="13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Paula Boggs</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Schofield</w:t>
            </w:r>
          </w:p>
        </w:tc>
        <w:tc>
          <w:tcPr>
            <w:tcW w:w="13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Biographies</w:t>
      </w:r>
    </w:p>
    <w:p>
      <w:pPr>
        <w:spacing w:after="0" w:line="22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Davy </w:t>
      </w:r>
      <w:r>
        <w:rPr>
          <w:rFonts w:ascii="Times New Roman" w:cs="Times New Roman" w:eastAsia="Times New Roman" w:hAnsi="Times New Roman"/>
          <w:sz w:val="18"/>
          <w:szCs w:val="18"/>
          <w:color w:val="auto"/>
        </w:rPr>
        <w:t>serves as our Chief Executive Officer and Chairman of our Board, and prior to the Business Combination, served as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spacing w:after="0" w:line="18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Dean Ditto </w:t>
      </w:r>
      <w:r>
        <w:rPr>
          <w:rFonts w:ascii="Times New Roman" w:cs="Times New Roman" w:eastAsia="Times New Roman" w:hAnsi="Times New Roman"/>
          <w:sz w:val="18"/>
          <w:szCs w:val="18"/>
          <w:color w:val="auto"/>
        </w:rPr>
        <w:t>serves as our Chief Financial Officer. Prior to joining Banzai, Mr. Ditto served in various CFO roles leading finance, capital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spacing w:after="0" w:line="182" w:lineRule="exact"/>
        <w:rPr>
          <w:sz w:val="20"/>
          <w:szCs w:val="20"/>
          <w:color w:val="auto"/>
        </w:rPr>
      </w:pPr>
    </w:p>
    <w:p>
      <w:pPr>
        <w:jc w:val="both"/>
        <w:ind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Simon Baumer </w:t>
      </w:r>
      <w:r>
        <w:rPr>
          <w:rFonts w:ascii="Times New Roman" w:cs="Times New Roman" w:eastAsia="Times New Roman" w:hAnsi="Times New Roman"/>
          <w:sz w:val="18"/>
          <w:szCs w:val="18"/>
          <w:color w:val="auto"/>
        </w:rPr>
        <w:t>serves as our Chief Technology Officer and prior to this, served as Legacy Banzai’s Chief Technology Officer since 2021.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Biographies</w:t>
      </w:r>
    </w:p>
    <w:p>
      <w:pPr>
        <w:spacing w:after="0" w:line="25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Leeney </w:t>
      </w:r>
      <w:r>
        <w:rPr>
          <w:rFonts w:ascii="Times New Roman" w:cs="Times New Roman" w:eastAsia="Times New Roman" w:hAnsi="Times New Roman"/>
          <w:sz w:val="18"/>
          <w:szCs w:val="18"/>
          <w:color w:val="auto"/>
        </w:rPr>
        <w:t>has served as a member of the Board since 2023 and prior to this, served as 7GC’s Chairman and Chief Executive Officer since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on the initial public offerings for Tesla Motors, LinkedIn, and Pandora. Mr. Leeney holds a B.S. from Syracuse University. We believe Mr. Leeney is qualified to serve on the Board due to his extensive venture capital experience.</w:t>
      </w:r>
    </w:p>
    <w:p>
      <w:pPr>
        <w:spacing w:after="0" w:line="158"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Mason Ward </w:t>
      </w:r>
      <w:r>
        <w:rPr>
          <w:rFonts w:ascii="Times New Roman" w:cs="Times New Roman" w:eastAsia="Times New Roman" w:hAnsi="Times New Roman"/>
          <w:sz w:val="18"/>
          <w:szCs w:val="18"/>
          <w:color w:val="auto"/>
        </w:rPr>
        <w:t>has served as a member of the Board since December 2023, and prior to this, has served as the Chief Financial Officer of Alco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spacing w:after="0" w:line="18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Paula Boggs </w:t>
      </w:r>
      <w:r>
        <w:rPr>
          <w:rFonts w:ascii="Times New Roman" w:cs="Times New Roman" w:eastAsia="Times New Roman" w:hAnsi="Times New Roman"/>
          <w:sz w:val="18"/>
          <w:szCs w:val="18"/>
          <w:color w:val="auto"/>
        </w:rPr>
        <w:t>has served as a member of the Board since December 2023, and prior to this, is the founder and owner of Boggs Media,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Kent Schofield </w:t>
      </w:r>
      <w:r>
        <w:rPr>
          <w:rFonts w:ascii="Times New Roman" w:cs="Times New Roman" w:eastAsia="Times New Roman" w:hAnsi="Times New Roman"/>
          <w:sz w:val="18"/>
          <w:szCs w:val="18"/>
          <w:color w:val="auto"/>
        </w:rPr>
        <w:t>holds a bachelor’s degree in economics from UCLA and has a distinguished career in finance and corporate development.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Employee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than our officers and directors, we currently have one person who we consider to be a significant employee:</w:t>
      </w:r>
    </w:p>
    <w:p>
      <w:pPr>
        <w:spacing w:after="0" w:line="221"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Kurtzman </w:t>
      </w:r>
      <w:r>
        <w:rPr>
          <w:rFonts w:ascii="Times New Roman" w:cs="Times New Roman" w:eastAsia="Times New Roman" w:hAnsi="Times New Roman"/>
          <w:sz w:val="18"/>
          <w:szCs w:val="18"/>
          <w:color w:val="auto"/>
        </w:rPr>
        <w:t>serves as our Chief Revenue Officer. Most recently, Mr. Kurtzman served as CEO of Violett, Inc., an AI-enabled air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Prior to that, he was Chief Revenue Officer at Zype (acquired by Backlight), where he oversaw all revenue and customer-facing functions and led the integration of multiple acquisitions. Earlier in his career, he served as Senior Vice President of Sales at Panopto, a venture-backed SaaS company, where he helped triple annual recurring revenue and supported a successful exit. He also held the role of Vice President of Global Sales at Comcast Technology Solutions, following its acquisition of the Platform. Mr. Kurtzman holds a bachelor’s degree in Speech Communications from University of Illinois.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58" w:lineRule="auto"/>
        <w:rPr>
          <w:sz w:val="20"/>
          <w:szCs w:val="20"/>
          <w:color w:val="auto"/>
        </w:rPr>
      </w:pPr>
      <w:r>
        <w:rPr>
          <w:rFonts w:ascii="Times New Roman" w:cs="Times New Roman" w:eastAsia="Times New Roman" w:hAnsi="Times New Roman"/>
          <w:sz w:val="18"/>
          <w:szCs w:val="18"/>
          <w:color w:val="auto"/>
        </w:rPr>
        <w:t>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Board is divided into the following classes:</w:t>
      </w:r>
    </w:p>
    <w:p>
      <w:pPr>
        <w:spacing w:after="0" w:line="185" w:lineRule="exact"/>
        <w:rPr>
          <w:sz w:val="20"/>
          <w:szCs w:val="20"/>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Joseph Davy and Kent Schofield, whose terms will expire at the Company’s annual meeting of stockholders to be held in 2027;</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Mason Ward, whose term will expire at the Company’s annual meeting of stockholders to be held in 2028;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Paula Boggs and Jack Leeney, whose terms will expire at the Company’s annual meeting of stockholders to be held in 2026.</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Committee Composition</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 w:cs="Times New Roman" w:eastAsia="Times New Roman" w:hAnsi="Times New Roman"/>
          <w:sz w:val="18"/>
          <w:szCs w:val="18"/>
          <w:i w:val="1"/>
          <w:iCs w:val="1"/>
          <w:u w:val="single" w:color="auto"/>
          <w:color w:val="0000FF"/>
        </w:rPr>
        <w:t>https://ir.banzai.io/corporate-governance/governance-overview</w:t>
      </w:r>
      <w:r>
        <w:rPr>
          <w:rFonts w:ascii="Times New Roman" w:cs="Times New Roman" w:eastAsia="Times New Roman" w:hAnsi="Times New Roman"/>
          <w:sz w:val="18"/>
          <w:szCs w:val="18"/>
          <w:u w:val="single" w:color="auto"/>
          <w:color w:val="0000FF"/>
        </w:rPr>
        <w:t>.</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Nominating and Corporate</w:t>
            </w:r>
          </w:p>
        </w:tc>
      </w:tr>
      <w:tr>
        <w:trPr>
          <w:trHeight w:val="215"/>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 Committee</w:t>
            </w:r>
          </w:p>
        </w:tc>
        <w:tc>
          <w:tcPr>
            <w:tcW w:w="26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Committee</w:t>
            </w:r>
          </w:p>
        </w:tc>
        <w:tc>
          <w:tcPr>
            <w:tcW w:w="24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Governance Committee</w:t>
            </w:r>
          </w:p>
        </w:tc>
      </w:tr>
      <w:tr>
        <w:trPr>
          <w:trHeight w:val="21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Davy</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Jack Leeney</w:t>
            </w: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Mason Ward</w:t>
            </w:r>
          </w:p>
        </w:tc>
        <w:tc>
          <w:tcPr>
            <w:tcW w:w="240" w:type="dxa"/>
            <w:vAlign w:val="bottom"/>
            <w:shd w:val="clear" w:color="auto" w:fill="CCEEFF"/>
          </w:tcPr>
          <w:p>
            <w:pPr>
              <w:spacing w:after="0"/>
              <w:rPr>
                <w:sz w:val="21"/>
                <w:szCs w:val="21"/>
                <w:color w:val="auto"/>
              </w:rPr>
            </w:pPr>
          </w:p>
        </w:tc>
        <w:tc>
          <w:tcPr>
            <w:tcW w:w="2060" w:type="dxa"/>
            <w:vAlign w:val="bottom"/>
            <w:shd w:val="clear" w:color="auto" w:fill="CCEEFF"/>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60" w:type="dxa"/>
            <w:vAlign w:val="bottom"/>
            <w:shd w:val="clear" w:color="auto" w:fill="CCEEFF"/>
          </w:tcPr>
          <w:p>
            <w:pPr>
              <w:spacing w:after="0"/>
              <w:rPr>
                <w:sz w:val="21"/>
                <w:szCs w:val="21"/>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Paula Boggs</w:t>
            </w:r>
          </w:p>
        </w:tc>
        <w:tc>
          <w:tcPr>
            <w:tcW w:w="240" w:type="dxa"/>
            <w:vAlign w:val="bottom"/>
          </w:tcPr>
          <w:p>
            <w:pPr>
              <w:spacing w:after="0"/>
              <w:rPr>
                <w:sz w:val="21"/>
                <w:szCs w:val="21"/>
                <w:color w:val="auto"/>
              </w:rPr>
            </w:pPr>
          </w:p>
        </w:tc>
        <w:tc>
          <w:tcPr>
            <w:tcW w:w="206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60" w:type="dxa"/>
            <w:vAlign w:val="bottom"/>
          </w:tcPr>
          <w:p>
            <w:pPr>
              <w:spacing w:after="0"/>
              <w:rPr>
                <w:sz w:val="21"/>
                <w:szCs w:val="21"/>
                <w:color w:val="auto"/>
              </w:rPr>
            </w:pPr>
          </w:p>
        </w:tc>
        <w:tc>
          <w:tcPr>
            <w:tcW w:w="206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79"/>
              </w:rPr>
              <w:t>☑</w:t>
            </w:r>
          </w:p>
        </w:tc>
        <w:tc>
          <w:tcPr>
            <w:tcW w:w="2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Schofield</w:t>
            </w: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Report,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spacing w:after="0" w:line="183"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its corporate accounting and financial reporting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adequacy and effectiveness of our disclosure controls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design and implementation of our risk assessment functions;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60" w:name="page61"/>
    <w:bookmarkEnd w:id="60"/>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spacing w:after="0" w:line="17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Company’s Board the compensation of the Chief Executive Officer and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the Company’s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and other benefit programs;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Company’s employees, including the Company’s overall compensation philosophy;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Chief Executive Officer the succession plans for the Company’s executive officers.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Paula Boggs, who serves as the chairperson, Jack Leeney and Mason Ward. Each member is independent under the listing standards of Nasdaq, which is discussed below.</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the Nominating and Corporate Governance Committee include:</w:t>
      </w:r>
    </w:p>
    <w:p>
      <w:pPr>
        <w:spacing w:after="0" w:line="117"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including the nomination of incumbent directors for reelection and nominees recommended by stockholders, to serve on the Board;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Chief Executive Officer the plans for succession to the offices of the Company’s executive officers and make recommendations to the Board with respect to the selection of appropriate individuals to succeed to these positions;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Board’s performance, including committees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0000FF"/>
        </w:rPr>
        <w:t>https://ir.banzai.io/corporate-governance/governance-overview</w:t>
      </w:r>
      <w:r>
        <w:rPr>
          <w:rFonts w:ascii="Times New Roman" w:cs="Times New Roman" w:eastAsia="Times New Roman" w:hAnsi="Times New Roman"/>
          <w:sz w:val="18"/>
          <w:szCs w:val="18"/>
          <w:color w:val="000000"/>
        </w:rPr>
        <w:t>.We will post on our website all disclosures that are required by law or the listing standards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beneficial owners of more than 10% of our common stock to file reports with the SEC indicating their holdings of, and transactions in, Banzai’s equity securities. Based solely on a review of copies of these reports, we believe that other than the report listed below, all of our executive officers, directors, and 10% owners timely complied with all Section 16(a) filing requirements in 2025. Mr. Ditto filed his Form 3 late, but as of the date of this Report it has been filed. Additionally, the following directors and officers were late filing his/her respective Form 4: Joseph Davy, Simon Baumer, Jack Leeney, Mason Ward, Paula Boggs, and Kent Schofield.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the fiscal year ended December 31, 2025, consisting of our principal executive officer, principal financial officer and the next two most highly compensated executive officers, were:</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Davy, our Chief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Dean Ditto, our Chief Financial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Baumer, our Chief Technology Officer;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Kurtzman, our Chief Revenue Officer.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2025 Summary Compensation Table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compensation paid or awarded to our named executive officers for the years ended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Nonqual</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Non-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w w:val="98"/>
              </w:rPr>
              <w:t>ified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Deferre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w:t>
            </w:r>
          </w:p>
        </w:tc>
        <w:tc>
          <w:tcPr>
            <w:tcW w:w="220" w:type="dxa"/>
            <w:vAlign w:val="bottom"/>
          </w:tcPr>
          <w:p>
            <w:pPr>
              <w:spacing w:after="0"/>
              <w:rPr>
                <w:sz w:val="12"/>
                <w:szCs w:val="12"/>
                <w:color w:val="auto"/>
              </w:rPr>
            </w:pPr>
          </w:p>
        </w:tc>
        <w:tc>
          <w:tcPr>
            <w:tcW w:w="72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sation</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Compens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Earning</w:t>
            </w:r>
          </w:p>
        </w:tc>
        <w:tc>
          <w:tcPr>
            <w:tcW w:w="220" w:type="dxa"/>
            <w:vAlign w:val="bottom"/>
          </w:tcPr>
          <w:p>
            <w:pPr>
              <w:spacing w:after="0"/>
              <w:rPr>
                <w:sz w:val="12"/>
                <w:szCs w:val="12"/>
                <w:color w:val="auto"/>
              </w:rPr>
            </w:pPr>
          </w:p>
        </w:tc>
        <w:tc>
          <w:tcPr>
            <w:tcW w:w="72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Compens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72"/>
              </w:rPr>
              <w:t>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ation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s</w:t>
            </w:r>
          </w:p>
        </w:tc>
        <w:tc>
          <w:tcPr>
            <w:tcW w:w="220" w:type="dxa"/>
            <w:vAlign w:val="bottom"/>
          </w:tcPr>
          <w:p>
            <w:pPr>
              <w:spacing w:after="0"/>
              <w:rPr>
                <w:sz w:val="12"/>
                <w:szCs w:val="12"/>
                <w:color w:val="auto"/>
              </w:rPr>
            </w:pPr>
          </w:p>
        </w:tc>
        <w:tc>
          <w:tcPr>
            <w:tcW w:w="72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ation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Joseph Davy – Chief Executive</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w:t>
            </w:r>
          </w:p>
        </w:tc>
        <w:tc>
          <w:tcPr>
            <w:tcW w:w="3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375,</w:t>
            </w:r>
          </w:p>
        </w:tc>
        <w:tc>
          <w:tcPr>
            <w:tcW w:w="3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91"/>
              </w:rPr>
              <w:t>(1)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  8,437</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859,13</w:t>
            </w: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Officer</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000</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700</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0</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Joseph Davy – Chief Executive</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3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1"/>
              </w:rPr>
              <w:t>(2)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color w:val="auto"/>
              </w:rPr>
              <w:t>12,000</w:t>
            </w: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21"/>
                <w:szCs w:val="21"/>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852,11</w:t>
            </w:r>
          </w:p>
        </w:tc>
        <w:tc>
          <w:tcPr>
            <w:tcW w:w="0" w:type="dxa"/>
            <w:vAlign w:val="bottom"/>
          </w:tcPr>
          <w:p>
            <w:pPr>
              <w:spacing w:after="0"/>
              <w:rPr>
                <w:sz w:val="1"/>
                <w:szCs w:val="1"/>
                <w:color w:val="auto"/>
              </w:rPr>
            </w:pPr>
          </w:p>
        </w:tc>
      </w:tr>
      <w:tr>
        <w:trPr>
          <w:trHeight w:val="162"/>
        </w:trPr>
        <w:tc>
          <w:tcPr>
            <w:tcW w:w="23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Officer</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417</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000</w:t>
            </w:r>
          </w:p>
        </w:tc>
        <w:tc>
          <w:tcPr>
            <w:tcW w:w="34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Simon Baumer – Chief Technology</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w:t>
            </w:r>
          </w:p>
        </w:tc>
        <w:tc>
          <w:tcPr>
            <w:tcW w:w="3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91"/>
              </w:rPr>
              <w:t>(5)</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250</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492,63</w:t>
            </w: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Officer</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000</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635</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Simon Baumer – Chief Technology</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2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298,64</w:t>
            </w:r>
          </w:p>
        </w:tc>
        <w:tc>
          <w:tcPr>
            <w:tcW w:w="0" w:type="dxa"/>
            <w:vAlign w:val="bottom"/>
          </w:tcPr>
          <w:p>
            <w:pPr>
              <w:spacing w:after="0"/>
              <w:rPr>
                <w:sz w:val="1"/>
                <w:szCs w:val="1"/>
                <w:color w:val="auto"/>
              </w:rPr>
            </w:pPr>
          </w:p>
        </w:tc>
      </w:tr>
      <w:tr>
        <w:trPr>
          <w:trHeight w:val="162"/>
        </w:trPr>
        <w:tc>
          <w:tcPr>
            <w:tcW w:w="23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Officer</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223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Dean Ditto – Chief Financial</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3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91"/>
              </w:rPr>
              <w:t>(5)</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10,042</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263,16</w:t>
            </w: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Officer (8)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125</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000</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Alvin Yip – former Interim Chief</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c>
          <w:tcPr>
            <w:tcW w:w="3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95"/>
              </w:rPr>
              <w:t>(10)</w:t>
            </w:r>
          </w:p>
        </w:tc>
        <w:tc>
          <w:tcPr>
            <w:tcW w:w="120" w:type="dxa"/>
            <w:vAlign w:val="bottom"/>
          </w:tcPr>
          <w:p>
            <w:pPr>
              <w:spacing w:after="0"/>
              <w:rPr>
                <w:sz w:val="22"/>
                <w:szCs w:val="22"/>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148,</w:t>
            </w:r>
          </w:p>
        </w:tc>
        <w:tc>
          <w:tcPr>
            <w:tcW w:w="3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1"/>
              </w:rPr>
              <w:t>(5)</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color w:val="auto"/>
              </w:rPr>
              <w:t>270</w:t>
            </w: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402,90</w:t>
            </w:r>
          </w:p>
        </w:tc>
        <w:tc>
          <w:tcPr>
            <w:tcW w:w="0" w:type="dxa"/>
            <w:vAlign w:val="bottom"/>
          </w:tcPr>
          <w:p>
            <w:pPr>
              <w:spacing w:after="0"/>
              <w:rPr>
                <w:sz w:val="1"/>
                <w:szCs w:val="1"/>
                <w:color w:val="auto"/>
              </w:rPr>
            </w:pPr>
          </w:p>
        </w:tc>
      </w:tr>
      <w:tr>
        <w:trPr>
          <w:trHeight w:val="149"/>
        </w:trPr>
        <w:tc>
          <w:tcPr>
            <w:tcW w:w="234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Financial Officer (8)</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39"/>
              <w:spacing w:after="0" w:line="148" w:lineRule="exact"/>
              <w:rPr>
                <w:sz w:val="20"/>
                <w:szCs w:val="20"/>
                <w:color w:val="auto"/>
              </w:rPr>
            </w:pPr>
            <w:r>
              <w:rPr>
                <w:rFonts w:ascii="Times New Roman" w:cs="Times New Roman" w:eastAsia="Times New Roman" w:hAnsi="Times New Roman"/>
                <w:sz w:val="16"/>
                <w:szCs w:val="16"/>
                <w:color w:val="auto"/>
              </w:rPr>
              <w:t>500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40"/>
              <w:spacing w:after="0" w:line="148" w:lineRule="exact"/>
              <w:rPr>
                <w:sz w:val="20"/>
                <w:szCs w:val="20"/>
                <w:color w:val="auto"/>
              </w:rPr>
            </w:pPr>
            <w:r>
              <w:rPr>
                <w:rFonts w:ascii="Times New Roman" w:cs="Times New Roman" w:eastAsia="Times New Roman" w:hAnsi="Times New Roman"/>
                <w:sz w:val="16"/>
                <w:szCs w:val="16"/>
                <w:color w:val="auto"/>
              </w:rPr>
              <w:t>635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0"/>
              <w:spacing w:after="0" w:line="148"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Alvin Yip – former Interim Chief</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3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91"/>
              </w:rPr>
              <w:t>(2)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281,28</w:t>
            </w: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Officer (8)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833</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Michael Kurtzman – Chief</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360" w:type="dxa"/>
            <w:vAlign w:val="bottom"/>
          </w:tcPr>
          <w:p>
            <w:pPr>
              <w:spacing w:after="0"/>
              <w:rPr>
                <w:sz w:val="22"/>
                <w:szCs w:val="22"/>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56,2</w:t>
            </w:r>
          </w:p>
        </w:tc>
        <w:tc>
          <w:tcPr>
            <w:tcW w:w="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87"/>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3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91"/>
              </w:rPr>
              <w:t>(5)</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color w:val="auto"/>
              </w:rPr>
              <w:t>250</w:t>
            </w: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435,87</w:t>
            </w:r>
          </w:p>
        </w:tc>
        <w:tc>
          <w:tcPr>
            <w:tcW w:w="0" w:type="dxa"/>
            <w:vAlign w:val="bottom"/>
          </w:tcPr>
          <w:p>
            <w:pPr>
              <w:spacing w:after="0"/>
              <w:rPr>
                <w:sz w:val="1"/>
                <w:szCs w:val="1"/>
                <w:color w:val="auto"/>
              </w:rPr>
            </w:pPr>
          </w:p>
        </w:tc>
      </w:tr>
      <w:tr>
        <w:trPr>
          <w:trHeight w:val="148"/>
        </w:trPr>
        <w:tc>
          <w:tcPr>
            <w:tcW w:w="234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Revenue Officer (12)</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39"/>
              <w:spacing w:after="0" w:line="148" w:lineRule="exact"/>
              <w:rPr>
                <w:sz w:val="20"/>
                <w:szCs w:val="20"/>
                <w:color w:val="auto"/>
              </w:rPr>
            </w:pPr>
            <w:r>
              <w:rPr>
                <w:rFonts w:ascii="Times New Roman" w:cs="Times New Roman" w:eastAsia="Times New Roman" w:hAnsi="Times New Roman"/>
                <w:sz w:val="16"/>
                <w:szCs w:val="16"/>
                <w:color w:val="auto"/>
              </w:rPr>
              <w:t>375</w:t>
            </w:r>
          </w:p>
        </w:tc>
        <w:tc>
          <w:tcPr>
            <w:tcW w:w="360" w:type="dxa"/>
            <w:vAlign w:val="bottom"/>
          </w:tcPr>
          <w:p>
            <w:pPr>
              <w:spacing w:after="0"/>
              <w:rPr>
                <w:sz w:val="12"/>
                <w:szCs w:val="12"/>
                <w:color w:val="auto"/>
              </w:rPr>
            </w:pPr>
          </w:p>
        </w:tc>
        <w:tc>
          <w:tcPr>
            <w:tcW w:w="700" w:type="dxa"/>
            <w:vAlign w:val="bottom"/>
            <w:gridSpan w:val="2"/>
          </w:tcPr>
          <w:p>
            <w:pPr>
              <w:jc w:val="right"/>
              <w:ind w:right="41"/>
              <w:spacing w:after="0" w:line="148" w:lineRule="exact"/>
              <w:rPr>
                <w:sz w:val="20"/>
                <w:szCs w:val="20"/>
                <w:color w:val="auto"/>
              </w:rPr>
            </w:pPr>
            <w:r>
              <w:rPr>
                <w:rFonts w:ascii="Times New Roman" w:cs="Times New Roman" w:eastAsia="Times New Roman" w:hAnsi="Times New Roman"/>
                <w:sz w:val="16"/>
                <w:szCs w:val="16"/>
                <w:color w:val="auto"/>
              </w:rPr>
              <w:t>50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40"/>
              <w:spacing w:after="0" w:line="148" w:lineRule="exact"/>
              <w:rPr>
                <w:sz w:val="20"/>
                <w:szCs w:val="20"/>
                <w:color w:val="auto"/>
              </w:rPr>
            </w:pPr>
            <w:r>
              <w:rPr>
                <w:rFonts w:ascii="Times New Roman" w:cs="Times New Roman" w:eastAsia="Times New Roman" w:hAnsi="Times New Roman"/>
                <w:sz w:val="16"/>
                <w:szCs w:val="16"/>
                <w:color w:val="auto"/>
              </w:rPr>
              <w:t>000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0"/>
              <w:spacing w:after="0" w:line="148"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 Musburger – former Chief</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125,00</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231,71</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Financial Officer (14)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9"/>
              <w:spacing w:after="0" w:line="148" w:lineRule="exact"/>
              <w:rPr>
                <w:sz w:val="20"/>
                <w:szCs w:val="20"/>
                <w:color w:val="auto"/>
              </w:rPr>
            </w:pPr>
            <w:r>
              <w:rPr>
                <w:rFonts w:ascii="Times New Roman" w:cs="Times New Roman" w:eastAsia="Times New Roman" w:hAnsi="Times New Roman"/>
                <w:sz w:val="16"/>
                <w:szCs w:val="16"/>
                <w:color w:val="auto"/>
              </w:rPr>
              <w:t>714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5"/>
              <w:spacing w:after="0" w:line="148" w:lineRule="exact"/>
              <w:rPr>
                <w:sz w:val="20"/>
                <w:szCs w:val="20"/>
                <w:color w:val="auto"/>
              </w:rPr>
            </w:pPr>
            <w:r>
              <w:rPr>
                <w:rFonts w:ascii="Times New Roman" w:cs="Times New Roman" w:eastAsia="Times New Roman" w:hAnsi="Times New Roman"/>
                <w:sz w:val="16"/>
                <w:szCs w:val="16"/>
                <w:color w:val="auto"/>
              </w:rPr>
              <w:t>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Ashley Levesque – former Vice</w:t>
            </w:r>
          </w:p>
        </w:tc>
        <w:tc>
          <w:tcPr>
            <w:tcW w:w="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78,7</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3,150</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6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99"/>
              </w:rPr>
              <w:t>81,900</w:t>
            </w:r>
          </w:p>
        </w:tc>
        <w:tc>
          <w:tcPr>
            <w:tcW w:w="0" w:type="dxa"/>
            <w:vAlign w:val="bottom"/>
          </w:tcPr>
          <w:p>
            <w:pPr>
              <w:spacing w:after="0"/>
              <w:rPr>
                <w:sz w:val="1"/>
                <w:szCs w:val="1"/>
                <w:color w:val="auto"/>
              </w:rPr>
            </w:pPr>
          </w:p>
        </w:tc>
      </w:tr>
      <w:tr>
        <w:trPr>
          <w:trHeight w:val="114"/>
        </w:trPr>
        <w:tc>
          <w:tcPr>
            <w:tcW w:w="2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President of Marketing (16)</w:t>
            </w:r>
          </w:p>
        </w:tc>
        <w:tc>
          <w:tcPr>
            <w:tcW w:w="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jc w:val="both"/>
        <w:ind w:left="580" w:right="20" w:hanging="572"/>
        <w:spacing w:after="0" w:line="253"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 w:cs="Times New Roman" w:eastAsia="Times New Roman" w:hAnsi="Times New Roman"/>
          <w:sz w:val="18"/>
          <w:szCs w:val="18"/>
          <w:i w:val="1"/>
          <w:iCs w:val="1"/>
          <w:color w:val="auto"/>
        </w:rPr>
        <w:t>Note 16 –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to our consolidated financial statements included in this Report. These amounts do not reflect the actual economic value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by the named executive officer. The Non-Equity Incentive Compensation Plan described in "2025 Bonuses" below. The All Other Compensation amount consists of Company-match 401(k) plan contributions of $8,167, a home office stipend of $250, and a miscellaneous bonus of $20.</w:t>
      </w:r>
    </w:p>
    <w:p>
      <w:pPr>
        <w:spacing w:after="0" w:line="5" w:lineRule="exact"/>
        <w:rPr>
          <w:rFonts w:ascii="Times New Roman" w:cs="Times New Roman" w:eastAsia="Times New Roman" w:hAnsi="Times New Roman"/>
          <w:sz w:val="18"/>
          <w:szCs w:val="18"/>
          <w:color w:val="auto"/>
        </w:rPr>
      </w:pPr>
    </w:p>
    <w:p>
      <w:pPr>
        <w:jc w:val="both"/>
        <w:ind w:left="580" w:right="20" w:hanging="572"/>
        <w:spacing w:after="0" w:line="250"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 w:cs="Times New Roman" w:eastAsia="Times New Roman" w:hAnsi="Times New Roman"/>
          <w:sz w:val="18"/>
          <w:szCs w:val="18"/>
          <w:i w:val="1"/>
          <w:iCs w:val="1"/>
          <w:color w:val="auto"/>
        </w:rPr>
        <w:t>Note 16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to our consolidated financial statements included in this Report. These amounts do not reflect the actual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that may be realized by the named executive officer.</w:t>
      </w:r>
    </w:p>
    <w:p>
      <w:pPr>
        <w:spacing w:after="0" w:line="1" w:lineRule="exact"/>
        <w:rPr>
          <w:rFonts w:ascii="Times New Roman" w:cs="Times New Roman" w:eastAsia="Times New Roman" w:hAnsi="Times New Roman"/>
          <w:sz w:val="18"/>
          <w:szCs w:val="18"/>
          <w:color w:val="auto"/>
        </w:rPr>
      </w:pPr>
    </w:p>
    <w:p>
      <w:pPr>
        <w:jc w:val="both"/>
        <w:ind w:left="580" w:right="20" w:hanging="572"/>
        <w:spacing w:after="0" w:line="250"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 w:cs="Times New Roman" w:eastAsia="Times New Roman" w:hAnsi="Times New Roman"/>
          <w:sz w:val="18"/>
          <w:szCs w:val="18"/>
          <w:i w:val="1"/>
          <w:iCs w:val="1"/>
          <w:color w:val="auto"/>
        </w:rPr>
        <w:t>Note 16 – Stock-Based Compensation</w:t>
      </w:r>
      <w:r>
        <w:rPr>
          <w:rFonts w:ascii="Times New Roman" w:cs="Times New Roman" w:eastAsia="Times New Roman" w:hAnsi="Times New Roman"/>
          <w:sz w:val="18"/>
          <w:szCs w:val="18"/>
          <w:color w:val="auto"/>
        </w:rPr>
        <w:t xml:space="preserve"> to our consolidated financial statements included in this Report. These amounts do not reflect the actual economic value that may be realized by the named executive officer.</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Company-match 401(k) plan contributions.</w:t>
      </w:r>
    </w:p>
    <w:p>
      <w:pPr>
        <w:spacing w:after="0" w:line="9" w:lineRule="exact"/>
        <w:rPr>
          <w:rFonts w:ascii="Times New Roman" w:cs="Times New Roman" w:eastAsia="Times New Roman" w:hAnsi="Times New Roman"/>
          <w:sz w:val="18"/>
          <w:szCs w:val="18"/>
          <w:color w:val="auto"/>
        </w:rPr>
      </w:pPr>
    </w:p>
    <w:p>
      <w:pPr>
        <w:jc w:val="both"/>
        <w:ind w:left="580" w:right="20" w:hanging="572"/>
        <w:spacing w:after="0" w:line="250"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 w:cs="Times New Roman" w:eastAsia="Times New Roman" w:hAnsi="Times New Roman"/>
          <w:sz w:val="18"/>
          <w:szCs w:val="18"/>
          <w:i w:val="1"/>
          <w:iCs w:val="1"/>
          <w:color w:val="auto"/>
        </w:rPr>
        <w:t>Note 16 – Stock-Based Compensation</w:t>
      </w:r>
      <w:r>
        <w:rPr>
          <w:rFonts w:ascii="Times New Roman" w:cs="Times New Roman" w:eastAsia="Times New Roman" w:hAnsi="Times New Roman"/>
          <w:sz w:val="18"/>
          <w:szCs w:val="18"/>
          <w:color w:val="auto"/>
        </w:rPr>
        <w:t xml:space="preserve"> to our consolidated financial statements included in this Report. These amounts do not reflect the actual economic value that may be realized by the named executive officer.</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annual cash incentive bonuses, as further described in "2025 Bonuses."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home office stipend.</w:t>
      </w:r>
    </w:p>
    <w:p>
      <w:pPr>
        <w:spacing w:after="0" w:line="9"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 2025, Mr. Ditto was appointed as our Chief Financial Officer, as further described in "2025 Compensation Update." Mr. Ditto replaced Mr. Yip who had served as our interim Chief Financial Officer since June 14, 2024.</w:t>
      </w: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Company-match 401(k) plan contributions of $5,042 and a temporary housing allowance of $5,000.</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Board approved increasing Mr. Yip's salary to $241,500 per year, effective as of January 1, 2025.</w:t>
      </w:r>
    </w:p>
    <w:p>
      <w:pPr>
        <w:spacing w:after="0" w:line="20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home office stipend of $250, and a miscellaneous bonus of $20.</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16, 2025, Mr. Kurtzman was appointed as our Chief Revenue Officer, as further described in "2025 Compensation Update."</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guaranteed portion of an annual cash incentive bonus, as further described in "2025 Bonuses."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5, 2024, Mark Musburger resigned from his position as Chief Financial Officer.</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retention bonus paid in 2024.</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2024, Ashley Levesque resigned from her position as Vice President of Marketing.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2025 Compensation Update</w:t>
      </w:r>
    </w:p>
    <w:p>
      <w:pPr>
        <w:spacing w:after="0" w:line="22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The RSUs will vest quarterly and the last ¼ will become fully vested 12 months after they are approved by the Board. The equity will be subject to the terms and conditions of the Company’s 2023 Equity Incentive Plan.</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The RSUs will vest quarterly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and the last ¼ will become fully vested 12 months after they are approved by the Board. The equity will be subject to the terms and conditions of the Company’s 2023 Equity Incentive Plan.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2025 Bonuses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which are designed to provide appropriate incentives to our employees to achieve defined performance goals.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our named executive officers received annual performance-based cash bonuses with respect to the year ended December 31, 2024.</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9,709 RSUs, 32,362 RSUs, and 72,815 RSUs, which had a grant date fair value of $148,635, $100,000, and $225,000, respectively.</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2024, the Company granted Mr. Davy and Mr. Yip 30,488 RSUs and 3,289 RSUs, which had a grant date fair value of $500,000 and $50,000, respectively.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Historically, the Company granted stock options. Stock options allow the holder to exercise the stock option and receive shares upon exercise, with the exercise price determined based on the fair market value of a share of common stock at the time of grant.</w:t>
      </w:r>
    </w:p>
    <w:p>
      <w:pPr>
        <w:spacing w:after="0" w:line="162" w:lineRule="exact"/>
        <w:rPr>
          <w:sz w:val="20"/>
          <w:szCs w:val="20"/>
          <w:color w:val="auto"/>
        </w:rPr>
      </w:pPr>
    </w:p>
    <w:p>
      <w:pPr>
        <w:jc w:val="both"/>
        <w:ind w:right="20" w:firstLine="449"/>
        <w:spacing w:after="0" w:line="236" w:lineRule="auto"/>
        <w:rPr>
          <w:sz w:val="20"/>
          <w:szCs w:val="20"/>
          <w:color w:val="auto"/>
        </w:rPr>
      </w:pPr>
      <w:r>
        <w:rPr>
          <w:rFonts w:ascii="Times New Roman" w:cs="Times New Roman" w:eastAsia="Times New Roman" w:hAnsi="Times New Roman"/>
          <w:sz w:val="18"/>
          <w:szCs w:val="18"/>
          <w:color w:val="auto"/>
        </w:rPr>
        <w:t>The stock options granted to our named executive officers vested or will vest in a 25% increment on the one-year anniversary of the vesting commencement date and thereafter 1/48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total shares underlying the option award vests in 36 equal monthly installments, subject to the named executive officer’s continued service at each vesting date.</w:t>
      </w:r>
    </w:p>
    <w:p>
      <w:pPr>
        <w:spacing w:after="0" w:line="19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2024, the Company granted Mr. Davy, Mr. Baumer, and Mr. Yip 1,200 stock options, 300 stock options, and 8 stock options, which had a grant date fair value of $29,700, $43,433, and $95,074,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as of December 31, 2025</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outstanding equity incentive plan awards held by each named executive officer as of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Stock Awards (2)</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340" w:type="dxa"/>
            <w:vAlign w:val="bottom"/>
          </w:tcPr>
          <w:p>
            <w:pPr>
              <w:spacing w:after="0"/>
              <w:rPr>
                <w:sz w:val="10"/>
                <w:szCs w:val="10"/>
                <w:color w:val="auto"/>
              </w:rPr>
            </w:pPr>
          </w:p>
        </w:tc>
        <w:tc>
          <w:tcPr>
            <w:tcW w:w="110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00" w:type="dxa"/>
            <w:vAlign w:val="bottom"/>
          </w:tcPr>
          <w:p>
            <w:pPr>
              <w:spacing w:after="0"/>
              <w:rPr>
                <w:sz w:val="12"/>
                <w:szCs w:val="12"/>
                <w:color w:val="auto"/>
              </w:rPr>
            </w:pPr>
          </w:p>
        </w:tc>
        <w:tc>
          <w:tcPr>
            <w:tcW w:w="10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1040" w:type="dxa"/>
            <w:vAlign w:val="bottom"/>
          </w:tcPr>
          <w:p>
            <w:pPr>
              <w:jc w:val="center"/>
              <w:ind w:right="107"/>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04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Pr>
          <w:p>
            <w:pPr>
              <w:spacing w:after="0"/>
              <w:rPr>
                <w:sz w:val="12"/>
                <w:szCs w:val="12"/>
                <w:color w:val="auto"/>
              </w:rPr>
            </w:pPr>
          </w:p>
        </w:tc>
        <w:tc>
          <w:tcPr>
            <w:tcW w:w="104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00" w:type="dxa"/>
            <w:vAlign w:val="bottom"/>
          </w:tcPr>
          <w:p>
            <w:pPr>
              <w:spacing w:after="0"/>
              <w:rPr>
                <w:sz w:val="12"/>
                <w:szCs w:val="12"/>
                <w:color w:val="auto"/>
              </w:rPr>
            </w:pPr>
          </w:p>
        </w:tc>
        <w:tc>
          <w:tcPr>
            <w:tcW w:w="1080" w:type="dxa"/>
            <w:vAlign w:val="bottom"/>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34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104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0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20" w:type="dxa"/>
            <w:vAlign w:val="bottom"/>
          </w:tcPr>
          <w:p>
            <w:pPr>
              <w:spacing w:after="0"/>
              <w:rPr>
                <w:sz w:val="12"/>
                <w:szCs w:val="12"/>
                <w:color w:val="auto"/>
              </w:rPr>
            </w:pPr>
          </w:p>
        </w:tc>
        <w:tc>
          <w:tcPr>
            <w:tcW w:w="104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00" w:type="dxa"/>
            <w:vAlign w:val="bottom"/>
          </w:tcPr>
          <w:p>
            <w:pPr>
              <w:spacing w:after="0"/>
              <w:rPr>
                <w:sz w:val="12"/>
                <w:szCs w:val="12"/>
                <w:color w:val="auto"/>
              </w:rPr>
            </w:pPr>
          </w:p>
        </w:tc>
        <w:tc>
          <w:tcPr>
            <w:tcW w:w="10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040" w:type="dxa"/>
            <w:vAlign w:val="bottom"/>
          </w:tcPr>
          <w:p>
            <w:pPr>
              <w:jc w:val="center"/>
              <w:ind w:right="107"/>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10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00" w:type="dxa"/>
            <w:vAlign w:val="bottom"/>
          </w:tcPr>
          <w:p>
            <w:pPr>
              <w:spacing w:after="0"/>
              <w:rPr>
                <w:sz w:val="12"/>
                <w:szCs w:val="12"/>
                <w:color w:val="auto"/>
              </w:rPr>
            </w:pPr>
          </w:p>
        </w:tc>
        <w:tc>
          <w:tcPr>
            <w:tcW w:w="10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Have Not Been</w:t>
            </w:r>
          </w:p>
        </w:tc>
        <w:tc>
          <w:tcPr>
            <w:tcW w:w="3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Have Not Been</w:t>
            </w: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60" w:type="dxa"/>
            <w:vAlign w:val="bottom"/>
            <w:gridSpan w:val="2"/>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20" w:type="dxa"/>
            <w:vAlign w:val="bottom"/>
          </w:tcPr>
          <w:p>
            <w:pPr>
              <w:spacing w:after="0"/>
              <w:rPr>
                <w:sz w:val="16"/>
                <w:szCs w:val="16"/>
                <w:color w:val="auto"/>
              </w:rPr>
            </w:pPr>
          </w:p>
        </w:tc>
        <w:tc>
          <w:tcPr>
            <w:tcW w:w="10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6"/>
                <w:szCs w:val="16"/>
                <w:color w:val="auto"/>
              </w:rPr>
            </w:pPr>
          </w:p>
        </w:tc>
        <w:tc>
          <w:tcPr>
            <w:tcW w:w="108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3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18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1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Joseph Davy</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79</w:t>
            </w:r>
          </w:p>
        </w:tc>
        <w:tc>
          <w:tcPr>
            <w:tcW w:w="11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121</w:t>
            </w:r>
          </w:p>
        </w:tc>
        <w:tc>
          <w:tcPr>
            <w:tcW w:w="11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158</w:t>
            </w:r>
          </w:p>
        </w:tc>
        <w:tc>
          <w:tcPr>
            <w:tcW w:w="11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242</w:t>
            </w: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1,000</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237</w:t>
            </w:r>
          </w:p>
        </w:tc>
        <w:tc>
          <w:tcPr>
            <w:tcW w:w="11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363</w:t>
            </w:r>
          </w:p>
        </w:tc>
        <w:tc>
          <w:tcPr>
            <w:tcW w:w="11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2,500</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375,700  (4)</w:t>
            </w:r>
          </w:p>
        </w:tc>
        <w:tc>
          <w:tcPr>
            <w:tcW w:w="0" w:type="dxa"/>
            <w:vAlign w:val="bottom"/>
          </w:tcPr>
          <w:p>
            <w:pPr>
              <w:spacing w:after="0"/>
              <w:rPr>
                <w:sz w:val="1"/>
                <w:szCs w:val="1"/>
                <w:color w:val="auto"/>
              </w:rPr>
            </w:pPr>
          </w:p>
        </w:tc>
      </w:tr>
      <w:tr>
        <w:trPr>
          <w:trHeight w:val="203"/>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Simon Baumer</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1,410</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7/14/2031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60</w:t>
            </w:r>
          </w:p>
        </w:tc>
        <w:tc>
          <w:tcPr>
            <w:tcW w:w="11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2</w:t>
            </w: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1,385</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2/15/2032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46</w:t>
            </w:r>
          </w:p>
        </w:tc>
        <w:tc>
          <w:tcPr>
            <w:tcW w:w="11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16</w:t>
            </w:r>
          </w:p>
        </w:tc>
        <w:tc>
          <w:tcPr>
            <w:tcW w:w="11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4,190</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3/1/2033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19</w:t>
            </w:r>
          </w:p>
        </w:tc>
        <w:tc>
          <w:tcPr>
            <w:tcW w:w="11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31</w:t>
            </w: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500</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39</w:t>
            </w:r>
          </w:p>
        </w:tc>
        <w:tc>
          <w:tcPr>
            <w:tcW w:w="11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61</w:t>
            </w:r>
          </w:p>
        </w:tc>
        <w:tc>
          <w:tcPr>
            <w:tcW w:w="11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1,000</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59</w:t>
            </w:r>
          </w:p>
        </w:tc>
        <w:tc>
          <w:tcPr>
            <w:tcW w:w="11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91</w:t>
            </w: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2,500</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2,428</w:t>
            </w:r>
          </w:p>
        </w:tc>
        <w:tc>
          <w:tcPr>
            <w:tcW w:w="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1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2,345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Dean Ditto</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24,272</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1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23,439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Kurtzman</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36,408</w:t>
            </w:r>
          </w:p>
        </w:tc>
        <w:tc>
          <w:tcPr>
            <w:tcW w:w="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1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35,159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Alvin Yip</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14</w:t>
            </w:r>
          </w:p>
        </w:tc>
        <w:tc>
          <w:tcPr>
            <w:tcW w:w="11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11</w:t>
            </w: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4,190</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12/2/2033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w:t>
            </w:r>
          </w:p>
        </w:tc>
        <w:tc>
          <w:tcPr>
            <w:tcW w:w="11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12</w:t>
            </w:r>
          </w:p>
        </w:tc>
        <w:tc>
          <w:tcPr>
            <w:tcW w:w="11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147</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45</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1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2,428</w:t>
            </w:r>
          </w:p>
        </w:tc>
        <w:tc>
          <w:tcPr>
            <w:tcW w:w="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1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2,345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Option Awards was granted under the 2016 Plan or the 2023 Equity Incentive Plan.</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Stock Awards was granted under the 2023 Equity Incentive Plan.</w:t>
      </w:r>
    </w:p>
    <w:p>
      <w:pPr>
        <w:spacing w:after="0" w:line="9"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p>
      <w:pPr>
        <w:ind w:left="580" w:right="20" w:hanging="572"/>
        <w:spacing w:after="0" w:line="250"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Award will vest into common stock in 4 tranches ranging from $250 thousand to $750 thousand, up to $2.0 million in the aggregate, if specified market capitalization thresholds ranging from $15.0 million to $30.0 million are met.</w:t>
      </w:r>
    </w:p>
    <w:p>
      <w:pPr>
        <w:ind w:left="580" w:right="460" w:hanging="572"/>
        <w:spacing w:after="0" w:line="250"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January 1, 2025 grant date, and the last ¼ will become fully vested in January 2026, subject to continued employment through the applicable vesting dates.</w:t>
      </w:r>
    </w:p>
    <w:p>
      <w:pPr>
        <w:ind w:left="580" w:right="120" w:hanging="572"/>
        <w:spacing w:after="0" w:line="250"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July 14, 2025 grant date, and the last ¼ will become fully vested in July 2026, subject to continued employment through the applicable vesting dates.</w:t>
      </w:r>
    </w:p>
    <w:p>
      <w:pPr>
        <w:ind w:left="580" w:right="640" w:hanging="572"/>
        <w:spacing w:after="0" w:line="250"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August 22, 2025 grant date, and the last ¼ will become fully vested in June 2026, subject to continued employment through the applicable vesting dates.</w:t>
      </w:r>
    </w:p>
    <w:p>
      <w:pPr>
        <w:ind w:left="580" w:right="100" w:hanging="572"/>
        <w:spacing w:after="0" w:line="250"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annually commencing with the May 14, 2024 grant date, and the last ¼ will become fully vested in May 2028, subject to continued employment through the applicable vesting dates.</w:t>
      </w:r>
    </w:p>
    <w:p>
      <w:pPr>
        <w:ind w:left="580" w:right="460" w:hanging="572"/>
        <w:spacing w:after="0" w:line="260"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January 1, 2025 grant date, and the last ¼ will become fully vested in January 2026, subject to continued employment through the applicable vesting dates.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Narrative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2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216,950 RSUs. In December 2024, the 4 non-employee directors received compensation of $371,507 in the form of 30,049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spacing w:after="0" w:line="18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retainer of $100,000, to be paid as determined by the Compensation Committee;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 Retainers: Audit Committee, $10,000; Compensation Committee, $5,000; and Nominating and Corporate Governance Committee, $5,000.</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Member Retainers: Audit Committee, $5,000; Compensation Committee, $2,500; and Nominating and Corporate Governance Committee, $2,500.</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non-employee directors are also reimbursed for their reasonable out-of-pocket travel expenses to cover in-person attendance at and participation in Board and committee meetings.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Disclosure of Policies and Practices Related to the Grant of Certain Equity Awards Close in Time to the Release of Material Nonpublic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Registrant's Action to Recover Erroneously Awarded Compensation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response to Item 402(w) of Regulation S-K, there was no time during or after the last completed fiscal year that the Company was required to either prepare an accounting restatement that required recovery of erroneously awarded compensation pursuant to the Company’s compensation recovery policy, or had an outstanding balance as of the end of the last completed fiscal year of erroneously awarded compensation to be recovered from the application of the policy to a prior restatement.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Sales Plans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Policies and Practices Related to the Grant of Certain Equity Awards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 response to Item 402(x)(1) of Regulation S-K, the Company does not currently grant new awards of stock options, stock appreciation rights, or similar option-like instruments within four business days before or one business day after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equity securities authorized for issuance as of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3800" w:type="dxa"/>
            <w:vAlign w:val="bottom"/>
            <w:vMerge w:val="restart"/>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Exercise Price of</w:t>
            </w:r>
          </w:p>
        </w:tc>
        <w:tc>
          <w:tcPr>
            <w:tcW w:w="26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2560" w:type="dxa"/>
            <w:vAlign w:val="bottom"/>
            <w:vMerge w:val="continue"/>
          </w:tcPr>
          <w:p>
            <w:pPr>
              <w:spacing w:after="0"/>
              <w:rPr>
                <w:sz w:val="12"/>
                <w:szCs w:val="12"/>
                <w:color w:val="auto"/>
              </w:rPr>
            </w:pPr>
          </w:p>
        </w:tc>
        <w:tc>
          <w:tcPr>
            <w:tcW w:w="26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80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 Options,</w:t>
            </w:r>
          </w:p>
        </w:tc>
        <w:tc>
          <w:tcPr>
            <w:tcW w:w="2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 and</w:t>
            </w:r>
          </w:p>
        </w:tc>
        <w:tc>
          <w:tcPr>
            <w:tcW w:w="26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 (excluding</w:t>
            </w:r>
          </w:p>
        </w:tc>
        <w:tc>
          <w:tcPr>
            <w:tcW w:w="0" w:type="dxa"/>
            <w:vAlign w:val="bottom"/>
          </w:tcPr>
          <w:p>
            <w:pPr>
              <w:spacing w:after="0"/>
              <w:rPr>
                <w:sz w:val="1"/>
                <w:szCs w:val="1"/>
                <w:color w:val="auto"/>
              </w:rPr>
            </w:pPr>
          </w:p>
        </w:tc>
      </w:tr>
      <w:tr>
        <w:trPr>
          <w:trHeight w:val="188"/>
        </w:trPr>
        <w:tc>
          <w:tcPr>
            <w:tcW w:w="2120" w:type="dxa"/>
            <w:vAlign w:val="bottom"/>
            <w:vMerge w:val="continue"/>
          </w:tcPr>
          <w:p>
            <w:pPr>
              <w:spacing w:after="0"/>
              <w:rPr>
                <w:sz w:val="16"/>
                <w:szCs w:val="16"/>
                <w:color w:val="auto"/>
              </w:rPr>
            </w:pPr>
          </w:p>
        </w:tc>
        <w:tc>
          <w:tcPr>
            <w:tcW w:w="3800" w:type="dxa"/>
            <w:vAlign w:val="bottom"/>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Warrants and Rights (a)</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(b)</w:t>
            </w:r>
          </w:p>
        </w:tc>
        <w:tc>
          <w:tcPr>
            <w:tcW w:w="262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securities reflected in column (a)) (c)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83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ind w:right="280"/>
        <w:spacing w:after="0" w:line="249" w:lineRule="auto"/>
        <w:rPr>
          <w:sz w:val="20"/>
          <w:szCs w:val="20"/>
          <w:color w:val="auto"/>
        </w:rPr>
      </w:pPr>
      <w:r>
        <w:rPr>
          <w:rFonts w:ascii="Times New Roman" w:cs="Times New Roman" w:eastAsia="Times New Roman" w:hAnsi="Times New Roman"/>
          <w:sz w:val="18"/>
          <w:szCs w:val="18"/>
          <w:color w:val="auto"/>
        </w:rPr>
        <w:t>Equity compensation plans approved by shareholders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Equity compensation plans not approved by shareholders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12,494</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1,577.59</w:t>
            </w:r>
          </w:p>
        </w:tc>
        <w:tc>
          <w:tcPr>
            <w:tcW w:w="2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487,510</w:t>
            </w:r>
          </w:p>
        </w:tc>
        <w:tc>
          <w:tcPr>
            <w:tcW w:w="0" w:type="dxa"/>
            <w:vAlign w:val="bottom"/>
          </w:tcPr>
          <w:p>
            <w:pPr>
              <w:spacing w:after="0"/>
              <w:rPr>
                <w:sz w:val="1"/>
                <w:szCs w:val="1"/>
                <w:color w:val="auto"/>
              </w:rPr>
            </w:pPr>
          </w:p>
        </w:tc>
      </w:tr>
      <w:tr>
        <w:trPr>
          <w:trHeight w:val="418"/>
        </w:trPr>
        <w:tc>
          <w:tcPr>
            <w:tcW w:w="2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600" w:type="dxa"/>
            <w:vAlign w:val="bottom"/>
            <w:tcBorders>
              <w:bottom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12,494</w:t>
            </w:r>
          </w:p>
        </w:tc>
        <w:tc>
          <w:tcPr>
            <w:tcW w:w="100" w:type="dxa"/>
            <w:vAlign w:val="bottom"/>
            <w:vMerge w:val="continue"/>
          </w:tcPr>
          <w:p>
            <w:pPr>
              <w:spacing w:after="0"/>
              <w:rPr>
                <w:sz w:val="18"/>
                <w:szCs w:val="18"/>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1,577.59</w:t>
            </w:r>
          </w:p>
        </w:tc>
        <w:tc>
          <w:tcPr>
            <w:tcW w:w="120" w:type="dxa"/>
            <w:vAlign w:val="bottom"/>
            <w:vMerge w:val="continue"/>
          </w:tcPr>
          <w:p>
            <w:pPr>
              <w:spacing w:after="0"/>
              <w:rPr>
                <w:sz w:val="18"/>
                <w:szCs w:val="18"/>
                <w:color w:val="auto"/>
              </w:rPr>
            </w:pPr>
          </w:p>
        </w:tc>
        <w:tc>
          <w:tcPr>
            <w:tcW w:w="2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487,510</w:t>
            </w:r>
          </w:p>
        </w:tc>
        <w:tc>
          <w:tcPr>
            <w:tcW w:w="0" w:type="dxa"/>
            <w:vAlign w:val="bottom"/>
          </w:tcPr>
          <w:p>
            <w:pPr>
              <w:spacing w:after="0"/>
              <w:rPr>
                <w:sz w:val="1"/>
                <w:szCs w:val="1"/>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-162560</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180" w:space="140"/>
            <w:col w:w="7920"/>
          </w:cols>
          <w:pgMar w:left="320" w:top="1413" w:right="339" w:bottom="1440" w:gutter="0" w:footer="0" w:header="0"/>
          <w:type w:val="continuous"/>
        </w:sectPr>
      </w:pPr>
    </w:p>
    <w:p>
      <w:pPr>
        <w:ind w:left="340" w:right="18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486,366 shares available pursuant to our 2023 Equity Incentive Plan and 1,144 shares available pursuant to our Employee Stock Purchase Plan. The total number of securities remaining available for future issuance indicated above reflects the expansion of shares available under the 2023 EIP Plan, to 1,000,000 shares, which Banzai’s shareholders approved on February 28,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Class A Common Stock and Class B Common Stock as of the date hereof for:</w:t>
      </w:r>
    </w:p>
    <w:p>
      <w:pPr>
        <w:spacing w:after="0" w:line="121"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outstanding shares of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named executive officers as a group.</w:t>
      </w:r>
    </w:p>
    <w:p>
      <w:pPr>
        <w:spacing w:after="0" w:line="22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percentage of beneficial ownership is based on 16,947,708 shares of Class A Common Stock and 607,998 shares of Class B Common Stock outstanding as of March 27, 2026.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83"/>
        </w:trPr>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5"/>
                <w:szCs w:val="15"/>
                <w:b w:val="1"/>
                <w:bCs w:val="1"/>
                <w:color w:val="auto"/>
              </w:rPr>
              <w:t>Class A Common Stock</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Class B Common Stock</w:t>
            </w:r>
          </w:p>
        </w:tc>
        <w:tc>
          <w:tcPr>
            <w:tcW w:w="120" w:type="dxa"/>
            <w:vAlign w:val="bottom"/>
          </w:tcPr>
          <w:p>
            <w:pPr>
              <w:spacing w:after="0"/>
              <w:rPr>
                <w:sz w:val="15"/>
                <w:szCs w:val="15"/>
                <w:color w:val="auto"/>
              </w:rPr>
            </w:pPr>
          </w:p>
        </w:tc>
        <w:tc>
          <w:tcPr>
            <w:tcW w:w="182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Total Voting Power</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Name and Address of Beneficial Owner †</w:t>
            </w:r>
          </w:p>
        </w:tc>
        <w:tc>
          <w:tcPr>
            <w:tcW w:w="120" w:type="dxa"/>
            <w:vAlign w:val="bottom"/>
          </w:tcPr>
          <w:p>
            <w:pPr>
              <w:spacing w:after="0"/>
              <w:rPr>
                <w:sz w:val="13"/>
                <w:szCs w:val="13"/>
                <w:color w:val="auto"/>
              </w:rPr>
            </w:pPr>
          </w:p>
        </w:tc>
        <w:tc>
          <w:tcPr>
            <w:tcW w:w="1340" w:type="dxa"/>
            <w:vAlign w:val="bottom"/>
            <w:tcBorders>
              <w:bottom w:val="single" w:sz="8" w:color="auto"/>
            </w:tcBorders>
          </w:tcPr>
          <w:p>
            <w:pPr>
              <w:jc w:val="right"/>
              <w:ind w:right="440"/>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4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99"/>
              <w:spacing w:after="0" w:line="156" w:lineRule="exact"/>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Pr>
          <w:p>
            <w:pPr>
              <w:spacing w:after="0"/>
              <w:rPr>
                <w:sz w:val="13"/>
                <w:szCs w:val="13"/>
                <w:color w:val="auto"/>
              </w:rPr>
            </w:pPr>
          </w:p>
        </w:tc>
        <w:tc>
          <w:tcPr>
            <w:tcW w:w="1320" w:type="dxa"/>
            <w:vAlign w:val="bottom"/>
            <w:tcBorders>
              <w:bottom w:val="single" w:sz="8" w:color="auto"/>
            </w:tcBorders>
          </w:tcPr>
          <w:p>
            <w:pPr>
              <w:jc w:val="right"/>
              <w:ind w:right="420"/>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right"/>
              <w:ind w:right="404"/>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3"/>
                <w:szCs w:val="13"/>
                <w:color w:val="auto"/>
              </w:rPr>
            </w:pPr>
          </w:p>
        </w:tc>
        <w:tc>
          <w:tcPr>
            <w:tcW w:w="1820" w:type="dxa"/>
            <w:vAlign w:val="bottom"/>
            <w:tcBorders>
              <w:bottom w:val="single" w:sz="8" w:color="auto"/>
            </w:tcBorders>
          </w:tcPr>
          <w:p>
            <w:pPr>
              <w:jc w:val="right"/>
              <w:ind w:right="664"/>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0" w:type="dxa"/>
            <w:vAlign w:val="bottom"/>
          </w:tcPr>
          <w:p>
            <w:pPr>
              <w:spacing w:after="0"/>
              <w:rPr>
                <w:sz w:val="1"/>
                <w:szCs w:val="1"/>
                <w:color w:val="auto"/>
              </w:rPr>
            </w:pPr>
          </w:p>
        </w:tc>
      </w:tr>
      <w:tr>
        <w:trPr>
          <w:trHeight w:val="206"/>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Directors and Named Executive Officers</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Joseph Davy (1)</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31,087</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607,998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9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Paula Boggs (2)</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7,673</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Jack Leeney (3)</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6,998</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Kent Schofield (4)</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9,645</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Mason Ward (5)</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8,223</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Dean Ditto (6)</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52,108</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Simon Baumer (7)</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46,201</w:t>
            </w: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 Directors and Executive Officers of the Company as a</w:t>
            </w:r>
          </w:p>
        </w:tc>
        <w:tc>
          <w:tcPr>
            <w:tcW w:w="13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161,935</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607,998</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940" w:type="dxa"/>
            <w:vAlign w:val="bottom"/>
            <w:gridSpan w:val="2"/>
            <w:vMerge w:val="restart"/>
          </w:tcPr>
          <w:p>
            <w:pPr>
              <w:jc w:val="right"/>
              <w:ind w:right="84"/>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102"/>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Group (7 Individuals)</w:t>
            </w:r>
          </w:p>
        </w:tc>
        <w:tc>
          <w:tcPr>
            <w:tcW w:w="13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8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Five Percent or Greater Holders</w:t>
            </w: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CP BF Lending, LLC (8)</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2,682,074</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0"/>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 IV OR Aggregator, LLC (9)</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1,226,624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320" w:right="20" w:hanging="312"/>
        <w:spacing w:after="0" w:line="250"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persons is c/o Banzai International, Inc., 435 Ericksen Ave NE, Suite 250, Bainbridge Island, WA 98110.</w:t>
      </w:r>
    </w:p>
    <w:p>
      <w:pPr>
        <w:spacing w:after="0" w:line="1" w:lineRule="exact"/>
        <w:rPr>
          <w:sz w:val="20"/>
          <w:szCs w:val="20"/>
          <w:color w:val="auto"/>
        </w:rPr>
      </w:pPr>
    </w:p>
    <w:p>
      <w:pPr>
        <w:ind w:left="320" w:right="460" w:hanging="312"/>
        <w:spacing w:after="0" w:line="250"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entitles its holders to one vote per share; each share of Class B Common Stock entitles its holder to ten votes on all matters presented to our stockholders generally. As a result, percentage of voting power is based on 23,027,688 total votes.</w:t>
      </w:r>
    </w:p>
    <w:p>
      <w:pPr>
        <w:spacing w:after="0" w:line="1" w:lineRule="exact"/>
        <w:rPr>
          <w:sz w:val="20"/>
          <w:szCs w:val="20"/>
          <w:color w:val="auto"/>
        </w:rPr>
      </w:pPr>
    </w:p>
    <w:p>
      <w:pPr>
        <w:ind w:left="320" w:right="560" w:hanging="312"/>
        <w:spacing w:after="0" w:line="250"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30,488 shares of Class A Common Stock, 607,998 shares of Class B Common Stock, and options to purchase 599 shares of Class A Common Stock exercisable within 60 days of March 27, 2026 held directly by Joseph Davy.</w:t>
      </w: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7,673 shares of Class A Common Stock held directly by Paula Boggs.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6,998 shares of Class A Common Stock held directly by Jack Leeney.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9,645 shares of Class A Common Stock held directly by Kent Schofield.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8,223 shares of Class A Common Stock and warrants to purchase 706 shares of Class A Common Stock held directly by Mason Ward.</w:t>
      </w:r>
    </w:p>
    <w:p>
      <w:pPr>
        <w:spacing w:after="0" w:line="9" w:lineRule="exact"/>
        <w:rPr>
          <w:rFonts w:ascii="Times New Roman" w:cs="Times New Roman" w:eastAsia="Times New Roman" w:hAnsi="Times New Roman"/>
          <w:sz w:val="18"/>
          <w:szCs w:val="18"/>
          <w:color w:val="auto"/>
        </w:rPr>
      </w:pPr>
    </w:p>
    <w:p>
      <w:pPr>
        <w:ind w:left="320" w:right="60" w:hanging="312"/>
        <w:spacing w:after="0" w:line="250"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9,856 shares of Class A Common Stock held directly by Dean Ditto, and 42,252 RSUs that will vest into shares of Class A Common Stock within 60 days of March 27, 2026.</w:t>
      </w:r>
    </w:p>
    <w:p>
      <w:pPr>
        <w:ind w:left="320" w:right="80" w:hanging="312"/>
        <w:spacing w:after="0" w:line="265" w:lineRule="auto"/>
        <w:tabs>
          <w:tab w:leader="none" w:pos="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9,709 shares of Class A Common Stock held directly by Simon Baumer, 36,167 RSUs that will vest into shares of Class A Common Stock within 60 days of March 27, 2026, and options to purchase 325 shares of Class A Common Stock exercisable within 60 days of March 27, 2026.</w:t>
      </w:r>
    </w:p>
    <w:p>
      <w:pPr>
        <w:jc w:val="both"/>
        <w:ind w:left="320" w:right="160" w:hanging="312"/>
        <w:spacing w:after="0" w:line="250"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Columbia Pacific Advisors may be deemed to beneficially own the securities held by CP BF Lending, LLC because they are the controlling members of the Board of Managers of Columbia Pacific Advisors, LLC. Columbia Pacific Advisors LLC is the manager of CP Business Finance GP, LLC, the manager of CP BF Lending, LLC. The address of CP BF Lending, LLC is 1910 Fairview Ave. E., Suite 300, Seattle, WA 98102.</w:t>
      </w:r>
    </w:p>
    <w:p>
      <w:pPr>
        <w:spacing w:after="0" w:line="1" w:lineRule="exact"/>
        <w:rPr>
          <w:rFonts w:ascii="Times New Roman" w:cs="Times New Roman" w:eastAsia="Times New Roman" w:hAnsi="Times New Roman"/>
          <w:sz w:val="18"/>
          <w:szCs w:val="18"/>
          <w:color w:val="auto"/>
        </w:rPr>
      </w:pPr>
    </w:p>
    <w:p>
      <w:pPr>
        <w:ind w:left="320" w:right="40" w:hanging="312"/>
        <w:spacing w:after="0" w:line="252"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49,996 shares of Class A common stock held by FE IV OR Aggregator, LLC (“FE Aggregator”) and (ii) 1,176,628 shares of Class A common stock issuable upon the exercise of Pre-Funded Warrants held by FE Aggregator. FE Aggregator’s right to exercise Pre-Funded Warrants at any particular time is subject to the Beneficial Ownership Limitation described above, however, for purposes of the second column of the above table, all shares of Class A common stock underlying the Pre-Funded Warrants have been included. As the manager, of FE Aggregator, Frederick N. Coulson, IV may be deemed to have voting and dispositive power over the shares of Class A common stock held by FE Aggregator. The address of FE Aggregator and Mr. Coulson is 4801 Main Street, Suite 700, Kansas City, MO 64112.</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404 of Regulation S-K is incorporated herein by reference to Notes 5 and 12 to the consolidated financial statements of this Annual Report on Form 10-K.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involved in the transaction exceeds the lesser of $120,000 or one percent of the average of our total assets at the year-end for the last two completed fiscal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or the disinterested, independent members of the Board, as the case may be, take into account the relevant available facts and circumstances, which may include, but are not limited to:</w:t>
      </w:r>
    </w:p>
    <w:p>
      <w:pPr>
        <w:spacing w:after="0" w:line="54"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transaction and the amount payable to a related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interest of the related party in the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may involve a conflict of interest;</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party transaction or related party that would be material to investors in light of the circumstances of the transaction.</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Independent Registered Public Accounting Firm</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Fees for professional services provided by our independent registered public accounting firms Bush &amp; Associates CPA LLC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Marcum LLP for the year ended December 31, 2024,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5"/>
        </w:trPr>
        <w:tc>
          <w:tcPr>
            <w:tcW w:w="35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i w:val="1"/>
                <w:iCs w:val="1"/>
                <w:u w:val="single" w:color="auto"/>
                <w:color w:val="auto"/>
              </w:rPr>
              <w:t>(</w:t>
            </w:r>
            <w:r>
              <w:rPr>
                <w:rFonts w:ascii="Times New Roman" w:cs="Times New Roman" w:eastAsia="Times New Roman" w:hAnsi="Times New Roman"/>
                <w:sz w:val="16"/>
                <w:szCs w:val="16"/>
                <w:b w:val="1"/>
                <w:bCs w:val="1"/>
                <w:i w:val="1"/>
                <w:iCs w:val="1"/>
                <w:color w:val="auto"/>
              </w:rPr>
              <w:t>$ in Thousands)</w:t>
            </w:r>
          </w:p>
        </w:tc>
        <w:tc>
          <w:tcPr>
            <w:tcW w:w="3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73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69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35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Audit fees (1)</w:t>
            </w:r>
          </w:p>
        </w:tc>
        <w:tc>
          <w:tcPr>
            <w:tcW w:w="432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54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770</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3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3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9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336</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770</w:t>
            </w:r>
          </w:p>
        </w:tc>
      </w:tr>
      <w:tr>
        <w:trPr>
          <w:trHeight w:val="520"/>
        </w:trPr>
        <w:tc>
          <w:tcPr>
            <w:tcW w:w="1160" w:type="dxa"/>
            <w:vAlign w:val="bottom"/>
            <w:tcBorders>
              <w:top w:val="single" w:sz="8" w:color="CFF0FC"/>
            </w:tcBorders>
          </w:tcPr>
          <w:p>
            <w:pPr>
              <w:spacing w:after="0"/>
              <w:rPr>
                <w:sz w:val="24"/>
                <w:szCs w:val="24"/>
                <w:color w:val="auto"/>
              </w:rPr>
            </w:pPr>
          </w:p>
        </w:tc>
        <w:tc>
          <w:tcPr>
            <w:tcW w:w="2380" w:type="dxa"/>
            <w:vAlign w:val="bottom"/>
            <w:tcBorders>
              <w:top w:val="single" w:sz="8" w:color="CFF0FC"/>
            </w:tcBorders>
          </w:tcPr>
          <w:p>
            <w:pPr>
              <w:spacing w:after="0"/>
              <w:rPr>
                <w:sz w:val="24"/>
                <w:szCs w:val="24"/>
                <w:color w:val="auto"/>
              </w:rPr>
            </w:pPr>
          </w:p>
        </w:tc>
        <w:tc>
          <w:tcPr>
            <w:tcW w:w="3940" w:type="dxa"/>
            <w:vAlign w:val="bottom"/>
            <w:tcBorders>
              <w:top w:val="single" w:sz="8" w:color="CFF0FC"/>
            </w:tcBorders>
          </w:tcPr>
          <w:p>
            <w:pPr>
              <w:jc w:val="right"/>
              <w:ind w:right="167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763"/>
        </w:trPr>
        <w:tc>
          <w:tcPr>
            <w:tcW w:w="11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1028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line="86" w:lineRule="exact"/>
        <w:rPr>
          <w:sz w:val="20"/>
          <w:szCs w:val="20"/>
          <w:color w:val="auto"/>
        </w:rPr>
      </w:pPr>
    </w:p>
    <w:p>
      <w:pPr>
        <w:ind w:left="580" w:right="180" w:hanging="572"/>
        <w:spacing w:after="0" w:line="261"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rendered for the audit of our year-end financial statements and services rendered in connection with our statutory and regulatory filings.</w:t>
      </w:r>
    </w:p>
    <w:p>
      <w:pPr>
        <w:jc w:val="both"/>
        <w:ind w:left="580" w:right="20" w:hanging="572"/>
        <w:spacing w:after="0" w:line="255" w:lineRule="auto"/>
        <w:tabs>
          <w:tab w:leader="none" w:pos="5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consist of fees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Except as permitted under federal law and SEC rules, all audit and non-audit services performed by our auditors must be pre-approved by the Audit Committee, including the fees and terms thereof (subject to the de minimis exceptions for non-audit services described in the Exchange Act which are approved by the audit committee prior to the completion of the audit). All services reflected in the foregoing table were pre-approved by the Audit Committee in 2025 and 2024.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98" w:lineRule="exact"/>
        <w:rPr>
          <w:sz w:val="20"/>
          <w:szCs w:val="20"/>
          <w:color w:val="auto"/>
        </w:rPr>
      </w:pPr>
    </w:p>
    <w:p>
      <w:pPr>
        <w:ind w:left="900" w:right="4660"/>
        <w:spacing w:after="0" w:line="459" w:lineRule="auto"/>
        <w:rPr>
          <w:sz w:val="20"/>
          <w:szCs w:val="20"/>
          <w:color w:val="auto"/>
        </w:rPr>
      </w:pPr>
      <w:r>
        <w:rPr>
          <w:rFonts w:ascii="Times New Roman" w:cs="Times New Roman" w:eastAsia="Times New Roman" w:hAnsi="Times New Roman"/>
          <w:sz w:val="18"/>
          <w:szCs w:val="18"/>
          <w:color w:val="auto"/>
        </w:rPr>
        <w:t>Report of Independent Registered Public Accounting Firm (PCAOB ID: 6797) Report of Independent Registered Public Accounting Firm (PCAOB ID: 688) Consolidated Balance Sheets as of December 31, 2025 and 2024</w:t>
      </w:r>
    </w:p>
    <w:p>
      <w:pPr>
        <w:ind w:left="90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and 2024</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Stockholders’ Deficit for the Years ended December 31, 2025 and 2024</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and 2024</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185" w:lineRule="exact"/>
        <w:rPr>
          <w:sz w:val="20"/>
          <w:szCs w:val="20"/>
          <w:color w:val="auto"/>
        </w:rPr>
      </w:pPr>
    </w:p>
    <w:p>
      <w:pPr>
        <w:ind w:left="720" w:hanging="263"/>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w:t>
      </w:r>
    </w:p>
    <w:p>
      <w:pPr>
        <w:spacing w:after="0" w:line="184" w:lineRule="exact"/>
        <w:rPr>
          <w:rFonts w:ascii="Times New Roman" w:cs="Times New Roman" w:eastAsia="Times New Roman" w:hAnsi="Times New Roman"/>
          <w:sz w:val="18"/>
          <w:szCs w:val="18"/>
          <w:color w:val="auto"/>
        </w:rPr>
      </w:pPr>
    </w:p>
    <w:p>
      <w:pPr>
        <w:ind w:left="460" w:hanging="3"/>
        <w:spacing w:after="0" w:line="282" w:lineRule="auto"/>
        <w:tabs>
          <w:tab w:leader="none" w:pos="7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34"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is a list of exhibits filed as part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0" w:type="dxa"/>
            <w:vAlign w:val="bottom"/>
            <w:gridSpan w:val="16"/>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gridSpan w:val="15"/>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4"/>
                <w:szCs w:val="14"/>
                <w:color w:val="auto"/>
              </w:rPr>
            </w:pPr>
          </w:p>
        </w:tc>
        <w:tc>
          <w:tcPr>
            <w:tcW w:w="92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Agreement and Plan of Merger, dated December 8, 2022, by and among Banzai, 7GC, First Merger Sub and Second Merger Sub</w:t>
              </w:r>
            </w:hyperlink>
          </w:p>
        </w:tc>
        <w:tc>
          <w:tcPr>
            <w:tcW w:w="560" w:type="dxa"/>
            <w:vAlign w:val="bottom"/>
            <w:gridSpan w:val="7"/>
          </w:tcPr>
          <w:p>
            <w:pPr>
              <w:spacing w:after="0"/>
              <w:rPr>
                <w:sz w:val="14"/>
                <w:szCs w:val="14"/>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by reference to Annex A-1 to the Registration Statement on Form S-4 filed on August 31,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Amendment to Agreement and Plan of Merger, dated August 4, 2023, by and among the Company and 7GC (incorporated by reference</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to Annex A-2 to the Registration Statement on Form S-4 filed on August 31,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Agreement and Plan of Merger, dated December 10, 2024, by and among Banzai International, Inc., Banzai Reel Acquisition, Inc.</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ClearDoc, Inc., and certain stockholders of ClearDoc, Inc. (incorporated by reference to Exhibit 2.1 to the Current Report on Form 8-K</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filed on December 19, 2024).</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Acquisition Agreement, dated December 19, 2024, by and among Banzai International, Inc., Vidello Limited, and the Shareholders of</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Vidello Limited (incorporated by reference to Exhibit 2.1 to the Current Report on Form 8-K filed on December 20, 2024).</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Agreement and Plan of Merger, dated January 22, 2025 by and between Banzai International, Inc. and Act-On Software, Inc.</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by reference to the Current Report on Form 8-K filed on January 23, 2025)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Second Amended and Restated Certificate of Incorporation of the Company, dated December 14, 2023. (incorporated by reference to</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Exhibit 3.1 to the Current Report on 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Second Amended and Restated Bylaws of the Company, dated December 14, 2023 (incorporated by reference to Exhibit 3.2 to the</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Current Report on 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Third Amended and Restated Bylaws of the Company, dated March 3, 2025 (incorporated by reference to Exhibit 3.2 to the Current</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Report on Form 8-K filed on March 4, 2025).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Amendment to Second Amended and Restated Certificate of Incorporation of the Company, dated September 11, 2024. (incorporated by</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reference to Exhibit 3.1 to the Current Report on Form 8-K filed on September 16, 2024).</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to Second Amended and Restated Certificate of Incorporation of the Company, dated March 3, 2025. (incorporated by</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reference to Exhibit 3.1 to the Current Report on Form 8-K filed on March 4, 2025).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Senior Secured Convertible Note (incorporated by reference to Exhibit 4.1 to the Current Report on Form 8-K filed on July 3,</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00" w:type="dxa"/>
            <w:vAlign w:val="bottom"/>
            <w:gridSpan w:val="2"/>
          </w:tcPr>
          <w:p>
            <w:pPr>
              <w:ind w:left="120"/>
              <w:spacing w:after="0" w:line="196" w:lineRule="exact"/>
              <w:rPr>
                <w:rFonts w:ascii="Times New Roman" w:cs="Times New Roman" w:eastAsia="Times New Roman" w:hAnsi="Times New Roman"/>
                <w:sz w:val="18"/>
                <w:szCs w:val="18"/>
                <w:color w:val="0000FF"/>
                <w:w w:val="94"/>
              </w:rPr>
            </w:pPr>
            <w:hyperlink r:id="rId144">
              <w:r>
                <w:rPr>
                  <w:rFonts w:ascii="Times New Roman" w:cs="Times New Roman" w:eastAsia="Times New Roman" w:hAnsi="Times New Roman"/>
                  <w:sz w:val="18"/>
                  <w:szCs w:val="18"/>
                  <w:color w:val="0000FF"/>
                  <w:w w:val="94"/>
                </w:rPr>
                <w:t>2025).</w:t>
              </w:r>
            </w:hyperlink>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Fourth Amended and Restated Bylaws (incorporated by reference to Exhibit 3.1 to the Current Report on Form 8-K filed on December</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680" w:type="dxa"/>
            <w:vAlign w:val="bottom"/>
            <w:gridSpan w:val="4"/>
          </w:tcPr>
          <w:p>
            <w:pPr>
              <w:ind w:left="120"/>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17, 2025).</w:t>
              </w:r>
            </w:hyperlink>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Specimen Class A Common Stock Certificate of the Company (incorporated by reference to Exhibit 4.1 to the Current Report on Form</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Specimen Class B Common Stock Certificate of the Company (incorporated by reference to Exhibit 4.2 to the Current Report on Form</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Specimen Warrant Certificate of the Company (incorporated by reference to Exhibit 4.3 to the Current Report on Form 8-K filed on</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Warrant Agreement, dated December 22, 2020, by and between 7GC and Continental Stock Transfer &amp; Trust Company, as warrant</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8"/>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agent (incorporated by reference to Exhibit 4.1 to the Current Report on Form 8-K filed by 7GC on December 28, 2020).</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540" w:type="dxa"/>
            <w:vAlign w:val="bottom"/>
            <w:gridSpan w:val="8"/>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Amended and Restated Convertible Promissory Note, by and among Banzai and CP BF Lending, LLC (incorporated by reference to</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8"/>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6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Exhibit 4.7 to the Registration Statement on Form S-4 filed by 7GC on August 30,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540" w:type="dxa"/>
            <w:vAlign w:val="bottom"/>
            <w:gridSpan w:val="8"/>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960" w:type="dxa"/>
            <w:vAlign w:val="bottom"/>
            <w:tcBorders>
              <w:left w:val="single" w:sz="8" w:color="0000EE"/>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Subordinated Promissory Note, dated December 13, 2023, issued by the Company to Alco Investment Company (incorporated by</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8"/>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96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reference to Exhibit 4.5 to the Current Report on 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540" w:type="dxa"/>
            <w:vAlign w:val="bottom"/>
            <w:gridSpan w:val="8"/>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Warrant to Purchase Shares of Common Stock of Banzai International, Inc., dated December 15, 2023, issued by the Company to GEM</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8"/>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Yield Bahamas Limited (incorporated by reference to Exhibit 4.7 to the Current Report on Form 8-K filed on December 20, 2023).</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540" w:type="dxa"/>
            <w:vAlign w:val="bottom"/>
            <w:gridSpan w:val="8"/>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30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Promissory Note, dated as of December 14, 2023, issued by Banzai International, Inc. to YA II PN, LTD (incorporated by reference to</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8"/>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left w:val="single" w:sz="8" w:color="0000FF"/>
            </w:tcBorders>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Exhibit 10.2 to the Current Report on Form 8-K filed on December 18, 2023)</w:t>
              </w:r>
              <w:r>
                <w:rPr>
                  <w:rFonts w:ascii="Times New Roman" w:cs="Times New Roman" w:eastAsia="Times New Roman" w:hAnsi="Times New Roman"/>
                  <w:sz w:val="18"/>
                  <w:szCs w:val="18"/>
                  <w:color w:val="000000"/>
                </w:rPr>
                <w:t>.</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540" w:type="dxa"/>
            <w:vAlign w:val="bottom"/>
            <w:gridSpan w:val="8"/>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gridSpan w:val="13"/>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Promissory Note, dated as of February 5, 2024, issued by Banzai International, Inc. to YA II PN, LTD (incorporated by reference to</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8"/>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60" w:type="dxa"/>
            <w:vAlign w:val="bottom"/>
            <w:tcBorders>
              <w:left w:val="single" w:sz="8" w:color="0000FF"/>
            </w:tcBorders>
            <w:gridSpan w:val="9"/>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22"/>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Exhibit 4.11 to the Registration Statement on Form S-1 filed on February 5, 2024).</w:t>
              </w:r>
            </w:hyperlink>
          </w:p>
        </w:tc>
      </w:tr>
      <w:tr>
        <w:trPr>
          <w:trHeight w:val="345"/>
        </w:trPr>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Borders>
              <w:top w:val="single" w:sz="8" w:color="0000EE"/>
            </w:tcBorders>
            <w:gridSpan w:val="8"/>
          </w:tcPr>
          <w:p>
            <w:pPr>
              <w:jc w:val="right"/>
              <w:ind w:right="113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840" w:type="dxa"/>
            <w:vAlign w:val="bottom"/>
            <w:gridSpan w:val="32"/>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Promissory Note Agreement, dated as of March 26, 2024, issued by Banzai International, Inc. to YA II PN, LTD (incorporated by</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reference to Exhibit 4.10 to the Annual Report on Form 10-K filed on April 15,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98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Certificate of Designation of Series FE Preferred Stock (incorporated by reference to the 8-K filed on December 19,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Senior Secured Convertible Note (incorporated by reference to Exhibit 4.1 to the Current Report on Form 8-K filed on July 3,</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44">
              <w:r>
                <w:rPr>
                  <w:rFonts w:ascii="Times New Roman" w:cs="Times New Roman" w:eastAsia="Times New Roman" w:hAnsi="Times New Roman"/>
                  <w:sz w:val="18"/>
                  <w:szCs w:val="18"/>
                  <w:color w:val="0000FF"/>
                  <w:w w:val="90"/>
                </w:rPr>
                <w:t>2025).</w:t>
              </w:r>
            </w:hyperlink>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Warrant (incorporated by reference to Exhibit 4.2 to the Current Report on Form 8-K filed on July 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Letter Agreement, dated December 22, 2020, by and among 7GC, its officers, its directors and the 7GC Sponsor (incorporated by</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reference to Exhibit 10.1 to the Current Report on Form 8-K filed by 7GC on December 28, 2020).</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Private Placement Warrants Purchase Agreement, dated December 22, 2020, by and between 7GC and the 7GC Sponsor (incorporated</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by reference to Exhibit 10.5 to the Current Report on Form 8-K filed by 7GC on December 15, 2020).</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Registration Rights Agreement, dated December 14, 2023, by and among the Company, the 7GC Sponsor,</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certain stockholders of the Company (incorporated by reference to Exhibit 10.6 to the Current Report on Form 8-K filed on December</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60" w:type="dxa"/>
            <w:vAlign w:val="bottom"/>
            <w:gridSpan w:val="3"/>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20, 2023).</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Lock-Up Agreement, by and between the Company and certain stockholders and executives of Legacy Banzai (incorporated by</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reference to Annex D to the Registration Statement on Form S-4 filed on August 31,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Banzai International, Inc. 2023 Equity Incentive Plan (incorporated by reference to Exhibit 99.1 to the Registration Statement on Form</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S-8 filed on March 25,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Banzai International, Inc. 2023 Employee Stock Purchase Plan (incorporated by reference to Exhibit 99.2 to the Registration Statement</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on Form S-8 filed on March 25,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Loan Agreement, dated February 19, 2021, by and among the Company, Joseph P. Davy as an Individual Guarantor, Demio, Inc., as an</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Individual Guarantor and CP BF Lending, LLC, as Lender (incorporated by reference to Exhibit 10.16 to the Registration Statement on</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S-4 filed by 7GC on August 30,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Forbearance Agreement, dated August 24, 2023, by and among the Company, the guarantors party to the Loan Agreement (as defined</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therein), and CP BF Lending, LLC (incorporated by reference to Exhibit 10.18 to the Registration Statement on Form S-4 filed by 7GC</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on August 30,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Promissory Note, dated October 3, 2023, issued by 7GC to the 7GC Sponsor (incorporated by reference to Exhibit 10.1 to the Current</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Report on Form 8-K filed by 7GC on October 4,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Standby Equity Purchase Agreement, dated as of December 14, 2023, by and among the Company, YA II PN, LTD., and Banzai</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Operating Co LLC (f/k/a Banzai International, Inc.). (incorporated by reference to Exhibit 10.1 to the Current Report on Form 8-K filed</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on December 18,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Registration Rights Agreement, dated as of December 14, 2023, by and between the Company and YA II PN, LTD. (incorporated by</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reference to Exhibit 10.3 to the Current Report on Form 8-K filed on December 18,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Share Transfer Agreement, dated December 13, 2023, by and among the Company, the 7GC Sponsor and Alco Investment Company</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(incorporated by reference to Exhibit 10.5 to the Current Report on Form 8-K filed on December 20,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26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Indemnification Agreement by and between the Company and its directors and officers (incorporated by reference to Exhibit</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to the Current Report on Form 8-K filed on December 20, 2023).</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Settlement Agreement, dated February 5, 2024, by and between the Company, GEM Global Yield LLC SCS and GEM Yield Bahamas</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3660" w:type="dxa"/>
            <w:vAlign w:val="bottom"/>
            <w:tcBorders>
              <w:right w:val="single" w:sz="8" w:color="0000FF"/>
            </w:tcBorders>
            <w:gridSpan w:val="6"/>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Limited (incorporated by reference to Exhibit 10.27 of Amendment No. 1 to the Registration Statement on Form S-1 filed on February</w:t>
              </w:r>
            </w:hyperlink>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660" w:type="dxa"/>
            <w:vAlign w:val="bottom"/>
            <w:gridSpan w:val="2"/>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5, 2024).</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Unsecured Promissory Note, dated February 5, 2024, issued by the Company to GEM Global Yield LLC SCS (incorporated by</w:t>
              </w:r>
            </w:hyperlink>
          </w:p>
        </w:tc>
      </w:tr>
      <w:tr>
        <w:trPr>
          <w:trHeight w:val="20"/>
        </w:trPr>
        <w:tc>
          <w:tcPr>
            <w:tcW w:w="1400" w:type="dxa"/>
            <w:vAlign w:val="bottom"/>
          </w:tcPr>
          <w:p>
            <w:pPr>
              <w:spacing w:after="0" w:line="20" w:lineRule="exact"/>
              <w:rPr>
                <w:sz w:val="1"/>
                <w:szCs w:val="1"/>
                <w:color w:val="auto"/>
              </w:rPr>
            </w:pPr>
          </w:p>
        </w:tc>
        <w:tc>
          <w:tcPr>
            <w:tcW w:w="2660" w:type="dxa"/>
            <w:vAlign w:val="bottom"/>
            <w:gridSpan w:val="7"/>
            <w:shd w:val="clear" w:color="auto" w:fill="0000FF"/>
          </w:tcPr>
          <w:p>
            <w:pPr>
              <w:spacing w:after="0" w:line="20" w:lineRule="exact"/>
              <w:rPr>
                <w:sz w:val="1"/>
                <w:szCs w:val="1"/>
                <w:color w:val="auto"/>
              </w:rPr>
            </w:pPr>
          </w:p>
        </w:tc>
        <w:tc>
          <w:tcPr>
            <w:tcW w:w="3660" w:type="dxa"/>
            <w:vAlign w:val="bottom"/>
            <w:tcBorders>
              <w:right w:val="single" w:sz="8" w:color="0000FF"/>
            </w:tcBorders>
            <w:gridSpan w:val="6"/>
            <w:shd w:val="clear" w:color="auto" w:fill="0000FF"/>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reference to Exhibit 10.4 to the Current Report on Form 8-K filed on February 8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660" w:type="dxa"/>
            <w:vAlign w:val="bottom"/>
            <w:gridSpan w:val="7"/>
            <w:shd w:val="clear" w:color="auto" w:fill="0000FF"/>
          </w:tcPr>
          <w:p>
            <w:pPr>
              <w:spacing w:after="0" w:line="20" w:lineRule="exact"/>
              <w:rPr>
                <w:sz w:val="1"/>
                <w:szCs w:val="1"/>
                <w:color w:val="auto"/>
              </w:rPr>
            </w:pPr>
          </w:p>
        </w:tc>
        <w:tc>
          <w:tcPr>
            <w:tcW w:w="3660" w:type="dxa"/>
            <w:vAlign w:val="bottom"/>
            <w:tcBorders>
              <w:right w:val="single" w:sz="8" w:color="0000EE"/>
            </w:tcBorders>
            <w:gridSpan w:val="6"/>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Supplemental Agreement, dated February 5, 2024, by and between the Company and YA II PN, LTD (incorporated by reference to</w:t>
              </w:r>
            </w:hyperlink>
          </w:p>
        </w:tc>
      </w:tr>
      <w:tr>
        <w:trPr>
          <w:trHeight w:val="20"/>
        </w:trPr>
        <w:tc>
          <w:tcPr>
            <w:tcW w:w="1400" w:type="dxa"/>
            <w:vAlign w:val="bottom"/>
          </w:tcPr>
          <w:p>
            <w:pPr>
              <w:spacing w:after="0" w:line="20" w:lineRule="exact"/>
              <w:rPr>
                <w:sz w:val="1"/>
                <w:szCs w:val="1"/>
                <w:color w:val="auto"/>
              </w:rPr>
            </w:pPr>
          </w:p>
        </w:tc>
        <w:tc>
          <w:tcPr>
            <w:tcW w:w="2660" w:type="dxa"/>
            <w:vAlign w:val="bottom"/>
            <w:gridSpan w:val="7"/>
            <w:shd w:val="clear" w:color="auto" w:fill="0000FF"/>
          </w:tcPr>
          <w:p>
            <w:pPr>
              <w:spacing w:after="0" w:line="20" w:lineRule="exact"/>
              <w:rPr>
                <w:sz w:val="1"/>
                <w:szCs w:val="1"/>
                <w:color w:val="auto"/>
              </w:rPr>
            </w:pPr>
          </w:p>
        </w:tc>
        <w:tc>
          <w:tcPr>
            <w:tcW w:w="4960" w:type="dxa"/>
            <w:vAlign w:val="bottom"/>
            <w:tcBorders>
              <w:right w:val="single" w:sz="8" w:color="0000FF"/>
            </w:tcBorders>
            <w:gridSpan w:val="10"/>
            <w:shd w:val="clear" w:color="auto" w:fill="0000FF"/>
          </w:tcPr>
          <w:p>
            <w:pPr>
              <w:spacing w:after="0" w:line="20" w:lineRule="exact"/>
              <w:rPr>
                <w:sz w:val="1"/>
                <w:szCs w:val="1"/>
                <w:color w:val="auto"/>
              </w:rPr>
            </w:pPr>
          </w:p>
        </w:tc>
        <w:tc>
          <w:tcPr>
            <w:tcW w:w="1840" w:type="dxa"/>
            <w:vAlign w:val="bottom"/>
            <w:gridSpan w:val="8"/>
            <w:shd w:val="clear" w:color="auto" w:fill="0000FF"/>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Exhibit 10.29 of Amendment No. 1 to the Registration Statement on Form S-1 filed on February 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660" w:type="dxa"/>
            <w:vAlign w:val="bottom"/>
            <w:gridSpan w:val="7"/>
            <w:shd w:val="clear" w:color="auto" w:fill="0000FF"/>
          </w:tcPr>
          <w:p>
            <w:pPr>
              <w:spacing w:after="0" w:line="20" w:lineRule="exact"/>
              <w:rPr>
                <w:sz w:val="1"/>
                <w:szCs w:val="1"/>
                <w:color w:val="auto"/>
              </w:rPr>
            </w:pPr>
          </w:p>
        </w:tc>
        <w:tc>
          <w:tcPr>
            <w:tcW w:w="4960" w:type="dxa"/>
            <w:vAlign w:val="bottom"/>
            <w:tcBorders>
              <w:right w:val="single" w:sz="8" w:color="0000EE"/>
            </w:tcBorders>
            <w:gridSpan w:val="10"/>
            <w:shd w:val="clear" w:color="auto" w:fill="0000FF"/>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Convertible Promissory Note issued to YA II PN, LTD (incorporated by reference to exhibit 10.1 to the Current Report on</w:t>
              </w:r>
            </w:hyperlink>
          </w:p>
        </w:tc>
      </w:tr>
      <w:tr>
        <w:trPr>
          <w:trHeight w:val="20"/>
        </w:trPr>
        <w:tc>
          <w:tcPr>
            <w:tcW w:w="1400" w:type="dxa"/>
            <w:vAlign w:val="bottom"/>
          </w:tcPr>
          <w:p>
            <w:pPr>
              <w:spacing w:after="0" w:line="20" w:lineRule="exact"/>
              <w:rPr>
                <w:sz w:val="1"/>
                <w:szCs w:val="1"/>
                <w:color w:val="auto"/>
              </w:rPr>
            </w:pPr>
          </w:p>
        </w:tc>
        <w:tc>
          <w:tcPr>
            <w:tcW w:w="2660" w:type="dxa"/>
            <w:vAlign w:val="bottom"/>
            <w:gridSpan w:val="7"/>
            <w:shd w:val="clear" w:color="auto" w:fill="0000FF"/>
          </w:tcPr>
          <w:p>
            <w:pPr>
              <w:spacing w:after="0" w:line="20" w:lineRule="exact"/>
              <w:rPr>
                <w:sz w:val="1"/>
                <w:szCs w:val="1"/>
                <w:color w:val="auto"/>
              </w:rPr>
            </w:pPr>
          </w:p>
        </w:tc>
        <w:tc>
          <w:tcPr>
            <w:tcW w:w="6800" w:type="dxa"/>
            <w:vAlign w:val="bottom"/>
            <w:gridSpan w:val="18"/>
            <w:shd w:val="clear" w:color="auto" w:fill="0000FF"/>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3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8-K filed on February 3, 2025).</w:t>
              </w:r>
            </w:hyperlink>
          </w:p>
        </w:tc>
      </w:tr>
      <w:tr>
        <w:trPr>
          <w:trHeight w:val="345"/>
        </w:trPr>
        <w:tc>
          <w:tcPr>
            <w:tcW w:w="1400" w:type="dxa"/>
            <w:vAlign w:val="bottom"/>
          </w:tcPr>
          <w:p>
            <w:pPr>
              <w:spacing w:after="0"/>
              <w:rPr>
                <w:sz w:val="24"/>
                <w:szCs w:val="24"/>
                <w:color w:val="auto"/>
              </w:rPr>
            </w:pPr>
          </w:p>
        </w:tc>
        <w:tc>
          <w:tcPr>
            <w:tcW w:w="2660" w:type="dxa"/>
            <w:vAlign w:val="bottom"/>
            <w:tcBorders>
              <w:top w:val="single" w:sz="8" w:color="0000FF"/>
            </w:tcBorders>
            <w:gridSpan w:val="7"/>
          </w:tcPr>
          <w:p>
            <w:pPr>
              <w:spacing w:after="0"/>
              <w:rPr>
                <w:sz w:val="24"/>
                <w:szCs w:val="24"/>
                <w:color w:val="auto"/>
              </w:rPr>
            </w:pPr>
          </w:p>
        </w:tc>
        <w:tc>
          <w:tcPr>
            <w:tcW w:w="24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73</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4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8"/>
              </w:rPr>
              <w:t>10.18</w:t>
            </w:r>
          </w:p>
        </w:tc>
        <w:tc>
          <w:tcPr>
            <w:tcW w:w="9840" w:type="dxa"/>
            <w:vAlign w:val="bottom"/>
            <w:gridSpan w:val="28"/>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Second Amendment to Loan Agreement by and among the Company, Demio Holding Inc., Banzai Operating Co. LLC and CP BF</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Lending, LLC, as Lender dated as of September 23, 2024 (incorporated by reference to Exhibit 10.19 to the Current Report on Form 8-</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K/A filed on September 27,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Debt Repayment Agreement, dated as of May 3, 2024, by and among the Company and Yorkville (incorporated by reference to Exhibit</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Current Report on Form 8-K filed on May 16,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10.20</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Amended and Restated Debt Repayment Agreement, dated as of May 22, 2024, by and between the Company and Yorkville</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by reference to Exhibit 4.12 to the Registration Statement filed on Form S-1 on September 19,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Securities Purchase Agreement (incorporated by reference to Exhibit 10.1 to the Current Report on Form 8-K filed on May 28,</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82">
              <w:r>
                <w:rPr>
                  <w:rFonts w:ascii="Times New Roman" w:cs="Times New Roman" w:eastAsia="Times New Roman" w:hAnsi="Times New Roman"/>
                  <w:sz w:val="18"/>
                  <w:szCs w:val="18"/>
                  <w:color w:val="0000FF"/>
                  <w:w w:val="90"/>
                </w:rPr>
                <w:t>2024).</w:t>
              </w:r>
            </w:hyperlink>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Securities Purchase Agreement (incorporated by reference to Exhibit 10.1 to the Current Report on Form 8-K filed on</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September 27,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10.23</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Lock-up Agreement, dated as of September 20, 2024, by and between Banzai International, Inc. and Alco Investment Company</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(incorporated by reference to Exhibit 10.21 to the Current Report on Form 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10.24</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Registration Rights Agreement, by and between Banzai International, Inc. and Alco Investment Company (incorporated by</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reference to Exhibit 10.20 to the Current Report on Form 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Securities Purchase Agreement, dated as of September 23, 2024, by and between Banzai International, Inc. and CP BF Lending, LLC</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(incorporated by reference to Exhibit 10.17 to the Current Report on Form 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9840" w:type="dxa"/>
            <w:vAlign w:val="bottom"/>
            <w:gridSpan w:val="28"/>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Lock-up Agreement, dated as of September 23, 2024, by and between Banzai International, Inc. and CP BF Lending, LLC (incorporated</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by reference to Exhibit 10.25 to the Current Report on Form 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9840" w:type="dxa"/>
            <w:vAlign w:val="bottom"/>
            <w:gridSpan w:val="28"/>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Form of Registration Rights Agreement, by and between Banzai International, Inc. and CP BF Lending, LLC (incorporated by reference</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to Exhibit 10.24 to the Current Report on Form 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Registration Rights Agreement (incorporated by reference to Exhibit 10.2 to the Current Report on Form 8-K filed on</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September 27,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Securities Purchase Agreement, dated as of September 20, 2024, by and between Banzai International, Inc. and Alco Investment</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Company (incorporated by reference to the Registration Statement on Form S-1 filed with the SEC on October 16,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Side Letter to the Loan Agreement with CP BF Lending, LLC (incorporated by reference to Exhibit 10.6 to the Current Report on Form</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8-K filed on September 25,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Floor Price Adjustment Agreement with Yorkville Advisors (incorporated by reference to the Registration Statement on Form S-1 filed</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with the SEC on October 16,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10.32</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Consulting Agreement dated as of September 26, 2024 by and between the Company and Hudson Global Ventures, LLC (incorporated</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by reference to the Registration Statement on Form S-1 filed with the SEC on October 16, 2024).</w:t>
              </w:r>
            </w:hyperlink>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5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Registration Rights Agreement (incorporated by reference to Exhibit 10.1 to the Current Report on Form 8-K filed on</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December 10,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10.34</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Pre-Funded Warrant (incorporated by reference to Exhibit 10.2 to the Current Report on Form 8-K filed on December 10,</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195">
              <w:r>
                <w:rPr>
                  <w:rFonts w:ascii="Times New Roman" w:cs="Times New Roman" w:eastAsia="Times New Roman" w:hAnsi="Times New Roman"/>
                  <w:sz w:val="18"/>
                  <w:szCs w:val="18"/>
                  <w:color w:val="0000FF"/>
                  <w:w w:val="90"/>
                </w:rPr>
                <w:t>2024).</w:t>
              </w:r>
            </w:hyperlink>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10.35</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Subscription Booklet (incorporated by reference to the Current Report on Form 8-K filed on January 23,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tcBorders>
              <w:right w:val="single" w:sz="8" w:color="0000FF"/>
            </w:tcBorders>
            <w:gridSpan w:val="5"/>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tcBorders>
              <w:left w:val="single" w:sz="8" w:color="0000FF"/>
            </w:tcBorders>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10.36</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of Pre-Funded Warrant (incorporated by reference to the Current Report on Form 8-K filed on January 23,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tcBorders>
              <w:right w:val="single" w:sz="8" w:color="0000FF"/>
            </w:tcBorders>
            <w:gridSpan w:val="5"/>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EE"/>
            </w:tcBorders>
            <w:gridSpan w:val="5"/>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10.37</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Voting and Support Agreement, dated January 22, 2025 by and between Banzai International, Inc and Joseph Davy (incorporated by</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tcBorders>
              <w:right w:val="single" w:sz="8" w:color="0000FF"/>
            </w:tcBorders>
            <w:gridSpan w:val="5"/>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gridSpan w:val="11"/>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reference to the Current Report on Form 8-K filed on January 23,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tcBorders>
              <w:right w:val="single" w:sz="8" w:color="0000EE"/>
            </w:tcBorders>
            <w:gridSpan w:val="5"/>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10.38</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Share Consideration Escrow Agreement (incorporated by reference to Exhibit 10.4 to the Current Report on Form 8-K filed on</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400" w:type="dxa"/>
            <w:vAlign w:val="bottom"/>
            <w:tcBorders>
              <w:right w:val="single" w:sz="8" w:color="0000FF"/>
            </w:tcBorders>
            <w:gridSpan w:val="8"/>
            <w:shd w:val="clear" w:color="auto" w:fill="0000FF"/>
          </w:tcPr>
          <w:p>
            <w:pPr>
              <w:spacing w:after="0" w:line="20" w:lineRule="exact"/>
              <w:rPr>
                <w:sz w:val="1"/>
                <w:szCs w:val="1"/>
                <w:color w:val="auto"/>
              </w:rPr>
            </w:pPr>
          </w:p>
        </w:tc>
        <w:tc>
          <w:tcPr>
            <w:tcW w:w="2660" w:type="dxa"/>
            <w:vAlign w:val="bottom"/>
            <w:gridSpan w:val="11"/>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January 23,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10.39</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of Registration Rights Agreement (incorporated by reference to Exhibit 10.5 to the Current Report on Form 8-K filed on January</w:t>
              </w:r>
            </w:hyperlink>
          </w:p>
        </w:tc>
      </w:tr>
      <w:tr>
        <w:trPr>
          <w:trHeight w:val="20"/>
        </w:trPr>
        <w:tc>
          <w:tcPr>
            <w:tcW w:w="14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FF"/>
                <w:w w:val="92"/>
              </w:rPr>
            </w:pPr>
            <w:hyperlink r:id="rId200">
              <w:r>
                <w:rPr>
                  <w:rFonts w:ascii="Times New Roman" w:cs="Times New Roman" w:eastAsia="Times New Roman" w:hAnsi="Times New Roman"/>
                  <w:sz w:val="18"/>
                  <w:szCs w:val="18"/>
                  <w:color w:val="0000FF"/>
                  <w:w w:val="92"/>
                </w:rPr>
                <w:t>23, 2025).</w:t>
              </w:r>
            </w:hyperlink>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10.40</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Voting and Support Agreement, dated December 10, 2024, by and between Joseph P. Davy and Banzai International Inc. (incorporated</w:t>
              </w:r>
            </w:hyperlink>
          </w:p>
        </w:tc>
      </w:tr>
      <w:tr>
        <w:trPr>
          <w:trHeight w:val="20"/>
        </w:trPr>
        <w:tc>
          <w:tcPr>
            <w:tcW w:w="1400" w:type="dxa"/>
            <w:vAlign w:val="bottom"/>
          </w:tcPr>
          <w:p>
            <w:pPr>
              <w:spacing w:after="0" w:line="20" w:lineRule="exact"/>
              <w:rPr>
                <w:sz w:val="1"/>
                <w:szCs w:val="1"/>
                <w:color w:val="auto"/>
              </w:rPr>
            </w:pPr>
          </w:p>
        </w:tc>
        <w:tc>
          <w:tcPr>
            <w:tcW w:w="6740" w:type="dxa"/>
            <w:vAlign w:val="bottom"/>
            <w:tcBorders>
              <w:right w:val="single" w:sz="8" w:color="0000FF"/>
            </w:tcBorders>
            <w:gridSpan w:val="11"/>
            <w:shd w:val="clear" w:color="auto" w:fill="0000FF"/>
          </w:tcPr>
          <w:p>
            <w:pPr>
              <w:spacing w:after="0" w:line="20" w:lineRule="exact"/>
              <w:rPr>
                <w:sz w:val="1"/>
                <w:szCs w:val="1"/>
                <w:color w:val="auto"/>
              </w:rPr>
            </w:pPr>
          </w:p>
        </w:tc>
        <w:tc>
          <w:tcPr>
            <w:tcW w:w="2660" w:type="dxa"/>
            <w:vAlign w:val="bottom"/>
            <w:gridSpan w:val="11"/>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by reference to Exhibit 10.3 to the Current Report on Form 8-K filed on December 10,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6740" w:type="dxa"/>
            <w:vAlign w:val="bottom"/>
            <w:tcBorders>
              <w:right w:val="single" w:sz="8" w:color="0000EE"/>
            </w:tcBorders>
            <w:gridSpan w:val="11"/>
            <w:shd w:val="clear" w:color="auto" w:fill="0000FF"/>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r>
      <w:tr>
        <w:trPr>
          <w:trHeight w:val="196"/>
        </w:trPr>
        <w:tc>
          <w:tcPr>
            <w:tcW w:w="1400" w:type="dxa"/>
            <w:vAlign w:val="bottom"/>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w w:val="98"/>
              </w:rPr>
              <w:t>10.41</w:t>
            </w:r>
          </w:p>
        </w:tc>
        <w:tc>
          <w:tcPr>
            <w:tcW w:w="9840" w:type="dxa"/>
            <w:vAlign w:val="bottom"/>
            <w:gridSpan w:val="28"/>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Lock-Up Agreement (incorporated by reference to exhibit 10.1 to the Current Report on Form 8-K filed on December 20,</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202">
              <w:r>
                <w:rPr>
                  <w:rFonts w:ascii="Times New Roman" w:cs="Times New Roman" w:eastAsia="Times New Roman" w:hAnsi="Times New Roman"/>
                  <w:sz w:val="18"/>
                  <w:szCs w:val="18"/>
                  <w:color w:val="0000FF"/>
                  <w:w w:val="90"/>
                </w:rPr>
                <w:t>2024).</w:t>
              </w:r>
            </w:hyperlink>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5"/>
        </w:trPr>
        <w:tc>
          <w:tcPr>
            <w:tcW w:w="14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1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9840" w:type="dxa"/>
            <w:vAlign w:val="bottom"/>
            <w:gridSpan w:val="21"/>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Pre-Funded Warrant (incorporated by reference to exhibit 10.2 to the Current Report on Form 8-K filed on December 20,</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205">
              <w:r>
                <w:rPr>
                  <w:rFonts w:ascii="Times New Roman" w:cs="Times New Roman" w:eastAsia="Times New Roman" w:hAnsi="Times New Roman"/>
                  <w:sz w:val="18"/>
                  <w:szCs w:val="18"/>
                  <w:color w:val="0000FF"/>
                  <w:w w:val="90"/>
                </w:rPr>
                <w:t>2024).</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Voting and Support Agreement, dated December 19, 2024, by and between Banzai International Inc., and Joseph P. Davy (incorporated</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by reference to exhibit 10.3 to the Current Report on Form 8-K filed on December 20, 2024).</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984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Closing Letter Agreement, dated January 24, 2025, by and among Banzai International, Inc., Vidello Limited and certain shareholders of</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Vidello Limited (incorporated by reference to exhibit 10.3 to the Current Report on Form 8-K filed on January 31,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Subordinated Business Loan and Security Agreement dated March 31, 2025, by and between Banzai International, Inc., Agile Capital</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Funding, LLC, and Agile Lending, LLC (incorporated by reference to Exhibit 10.1 to the Current Report on Form 8-K filed on April 11,</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208">
              <w:r>
                <w:rPr>
                  <w:rFonts w:ascii="Times New Roman" w:cs="Times New Roman" w:eastAsia="Times New Roman" w:hAnsi="Times New Roman"/>
                  <w:sz w:val="18"/>
                  <w:szCs w:val="18"/>
                  <w:color w:val="0000FF"/>
                  <w:w w:val="90"/>
                </w:rPr>
                <w:t>2025).</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Subordinated Secured Promissory Note dated March 31, 2025, by and between Banzai International, Inc., Agile Capital Funding, LLC,</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and Agile Lending, LLC (incorporated by reference to Exhibit 10.1 to the Current Report on Form 8-K filed on April 11,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Securities Purchase Agreement (incorporated by reference to Exhibit 10.1 to the Current Report on Form 8-K filed on July 3,</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210">
              <w:r>
                <w:rPr>
                  <w:rFonts w:ascii="Times New Roman" w:cs="Times New Roman" w:eastAsia="Times New Roman" w:hAnsi="Times New Roman"/>
                  <w:sz w:val="18"/>
                  <w:szCs w:val="18"/>
                  <w:color w:val="0000FF"/>
                  <w:w w:val="90"/>
                </w:rPr>
                <w:t>2025).</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10.48</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Registration Rights Agreement (incorporated by reference to Exhibit 10.2 to the Current Report on Form 8-K filed on July 3,</w:t>
              </w:r>
            </w:hyperlink>
          </w:p>
        </w:tc>
      </w:tr>
      <w:tr>
        <w:trPr>
          <w:trHeight w:val="20"/>
        </w:trPr>
        <w:tc>
          <w:tcPr>
            <w:tcW w:w="14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211">
              <w:r>
                <w:rPr>
                  <w:rFonts w:ascii="Times New Roman" w:cs="Times New Roman" w:eastAsia="Times New Roman" w:hAnsi="Times New Roman"/>
                  <w:sz w:val="18"/>
                  <w:szCs w:val="18"/>
                  <w:color w:val="0000FF"/>
                  <w:w w:val="90"/>
                </w:rPr>
                <w:t>2025).</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10.49</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Leak-Out Agreement (incorporated by reference to Exhibit 10.3 to the Current Report on Form 8-K filed on July 3,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10.50</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At-The-Market Offering Agreement by and between Banzai International, Inc. and H.C. Wainwright &amp; Co., LLC (incorporated by</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reference to Exhibit 1.1 to the Current Report on Form 8-K filed on August 27,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10.51</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Side Letter to the Loan Agreement, dated October 10, 2025, by and among Banzai International, Inc. and CP BF Lending, LLC</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(incorporated by reference to Exhibit 10.5 to the Current Report on Form 8-K filed on October 17,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2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10.52</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Amendment to Side Letter to the Loan Agreement, dated October 15, 2025, by and among Banzai International, Inc. and CP BF</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Lending, LLC (incorporated by reference to Exhibit 10.6 to the Current Report on Form 8-K filed on October 17,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Exchange Agreement, dated December 15, 2025, by and among Banzai International, Inc., Agile Capital Funding, LLC, and Agile</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Lending, LLC (incorporated by reference to Exhibit 10.1 to the Current Report on Form 8-K filed on December 17,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gridSpan w:val="5"/>
            <w:shd w:val="clear" w:color="auto" w:fill="0000FF"/>
          </w:tcPr>
          <w:p>
            <w:pPr>
              <w:spacing w:after="0" w:line="20" w:lineRule="exact"/>
              <w:rPr>
                <w:sz w:val="1"/>
                <w:szCs w:val="1"/>
                <w:color w:val="auto"/>
              </w:rPr>
            </w:pPr>
          </w:p>
        </w:tc>
        <w:tc>
          <w:tcPr>
            <w:tcW w:w="800" w:type="dxa"/>
            <w:vAlign w:val="bottom"/>
            <w:tcBorders>
              <w:left w:val="single" w:sz="8" w:color="0000FF"/>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10.54</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Forbearance Agreement, dated December 15, 2025, by and among Banzai International, Inc., Agile Capital Funding, LLC, and Agile</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gridSpan w:val="5"/>
            <w:shd w:val="clear" w:color="auto" w:fill="0000FF"/>
          </w:tcPr>
          <w:p>
            <w:pPr>
              <w:spacing w:after="0" w:line="20" w:lineRule="exact"/>
              <w:rPr>
                <w:sz w:val="1"/>
                <w:szCs w:val="1"/>
                <w:color w:val="auto"/>
              </w:rPr>
            </w:pPr>
          </w:p>
        </w:tc>
        <w:tc>
          <w:tcPr>
            <w:tcW w:w="80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Lending, LLC (incorporated by reference to Exhibit 10.1 to the Current Report on Form 8-K filed on December 17,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780" w:type="dxa"/>
            <w:vAlign w:val="bottom"/>
            <w:tcBorders>
              <w:right w:val="single" w:sz="8" w:color="0000FF"/>
            </w:tcBorders>
            <w:gridSpan w:val="5"/>
            <w:shd w:val="clear" w:color="auto" w:fill="0000FF"/>
          </w:tcPr>
          <w:p>
            <w:pPr>
              <w:spacing w:after="0" w:line="20" w:lineRule="exact"/>
              <w:rPr>
                <w:sz w:val="1"/>
                <w:szCs w:val="1"/>
                <w:color w:val="auto"/>
              </w:rPr>
            </w:pPr>
          </w:p>
        </w:tc>
        <w:tc>
          <w:tcPr>
            <w:tcW w:w="800" w:type="dxa"/>
            <w:vAlign w:val="bottom"/>
            <w:tcBorders>
              <w:left w:val="single" w:sz="8" w:color="0000FF"/>
            </w:tcBorders>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Banzai International, Inc. Insider Trading Policy (incorporated by reference to Exhibit 19.1 to the Annual Report on Form 10-K filed on</w:t>
              </w:r>
            </w:hyperlink>
          </w:p>
        </w:tc>
      </w:tr>
      <w:tr>
        <w:trPr>
          <w:trHeight w:val="20"/>
        </w:trPr>
        <w:tc>
          <w:tcPr>
            <w:tcW w:w="140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58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April 15,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Consent of Marcum, LLP.</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40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58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40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18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18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1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360" w:type="dxa"/>
            <w:vAlign w:val="bottom"/>
            <w:tcBorders>
              <w:right w:val="single" w:sz="8" w:color="0000FF"/>
            </w:tcBorders>
            <w:gridSpan w:val="5"/>
            <w:shd w:val="clear" w:color="auto" w:fill="0000FF"/>
          </w:tcPr>
          <w:p>
            <w:pPr>
              <w:spacing w:after="0" w:line="20" w:lineRule="exact"/>
              <w:rPr>
                <w:sz w:val="1"/>
                <w:szCs w:val="1"/>
                <w:color w:val="auto"/>
              </w:rPr>
            </w:pPr>
          </w:p>
        </w:tc>
        <w:tc>
          <w:tcPr>
            <w:tcW w:w="618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260" w:type="dxa"/>
            <w:vAlign w:val="bottom"/>
            <w:gridSpan w:val="1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Banzai International, Inc. Policy on Recoupment of Incentive Compensation (incorporated by reference to Exhibit 97.1 to the Annual</w:t>
              </w:r>
            </w:hyperlink>
          </w:p>
        </w:tc>
      </w:tr>
      <w:tr>
        <w:trPr>
          <w:trHeight w:val="20"/>
        </w:trPr>
        <w:tc>
          <w:tcPr>
            <w:tcW w:w="1400" w:type="dxa"/>
            <w:vAlign w:val="bottom"/>
          </w:tcPr>
          <w:p>
            <w:pPr>
              <w:spacing w:after="0" w:line="20" w:lineRule="exact"/>
              <w:rPr>
                <w:sz w:val="1"/>
                <w:szCs w:val="1"/>
                <w:color w:val="auto"/>
              </w:rPr>
            </w:pPr>
          </w:p>
        </w:tc>
        <w:tc>
          <w:tcPr>
            <w:tcW w:w="3360" w:type="dxa"/>
            <w:vAlign w:val="bottom"/>
            <w:tcBorders>
              <w:right w:val="single" w:sz="8" w:color="0000FF"/>
            </w:tcBorders>
            <w:gridSpan w:val="5"/>
            <w:shd w:val="clear" w:color="auto" w:fill="0000FF"/>
          </w:tcPr>
          <w:p>
            <w:pPr>
              <w:spacing w:after="0" w:line="20" w:lineRule="exact"/>
              <w:rPr>
                <w:sz w:val="1"/>
                <w:szCs w:val="1"/>
                <w:color w:val="auto"/>
              </w:rPr>
            </w:pPr>
          </w:p>
        </w:tc>
        <w:tc>
          <w:tcPr>
            <w:tcW w:w="6260" w:type="dxa"/>
            <w:vAlign w:val="bottom"/>
            <w:gridSpan w:val="1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840" w:type="dxa"/>
            <w:vAlign w:val="bottom"/>
            <w:gridSpan w:val="21"/>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Report on Form 10-K filed on April 15, 2025).</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360" w:type="dxa"/>
            <w:vAlign w:val="bottom"/>
            <w:tcBorders>
              <w:right w:val="single" w:sz="8" w:color="0000EE"/>
            </w:tcBorders>
            <w:gridSpan w:val="5"/>
            <w:shd w:val="clear" w:color="auto" w:fill="0000FF"/>
          </w:tcPr>
          <w:p>
            <w:pPr>
              <w:spacing w:after="0" w:line="20" w:lineRule="exact"/>
              <w:rPr>
                <w:sz w:val="1"/>
                <w:szCs w:val="1"/>
                <w:color w:val="auto"/>
              </w:rPr>
            </w:pPr>
          </w:p>
        </w:tc>
        <w:tc>
          <w:tcPr>
            <w:tcW w:w="6480" w:type="dxa"/>
            <w:vAlign w:val="bottom"/>
            <w:gridSpan w:val="16"/>
          </w:tcPr>
          <w:p>
            <w:pPr>
              <w:spacing w:after="0" w:line="20" w:lineRule="exact"/>
              <w:rPr>
                <w:sz w:val="1"/>
                <w:szCs w:val="1"/>
                <w:color w:val="auto"/>
              </w:rPr>
            </w:pPr>
          </w:p>
        </w:tc>
      </w:tr>
      <w:tr>
        <w:trPr>
          <w:trHeight w:val="21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400" w:type="dxa"/>
            <w:vAlign w:val="bottom"/>
          </w:tcPr>
          <w:p>
            <w:pPr>
              <w:spacing w:after="0"/>
              <w:rPr>
                <w:sz w:val="18"/>
                <w:szCs w:val="18"/>
                <w:color w:val="auto"/>
              </w:rPr>
            </w:pPr>
          </w:p>
        </w:tc>
        <w:tc>
          <w:tcPr>
            <w:tcW w:w="9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680" w:hanging="568"/>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80" w:hanging="568"/>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680" w:right="260" w:hanging="568"/>
        <w:spacing w:after="0" w:line="250"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601(b)(2) of Regulation S-K. A copy of any omitted schedule and/or exhibit will be furnished to the SEC upon request.</w:t>
      </w:r>
    </w:p>
    <w:p>
      <w:pPr>
        <w:spacing w:after="0" w:line="1" w:lineRule="exact"/>
        <w:rPr>
          <w:sz w:val="20"/>
          <w:szCs w:val="20"/>
          <w:color w:val="auto"/>
        </w:rPr>
      </w:pPr>
    </w:p>
    <w:p>
      <w:pPr>
        <w:jc w:val="right"/>
        <w:ind w:left="5540" w:right="5520" w:hanging="5428"/>
        <w:spacing w:after="0" w:line="636"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BANZAI INTERNATIONAL,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24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Davy</w:t>
            </w:r>
          </w:p>
        </w:tc>
      </w:tr>
      <w:tr>
        <w:trPr>
          <w:trHeight w:val="211"/>
        </w:trPr>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Davy</w:t>
            </w:r>
          </w:p>
        </w:tc>
      </w:tr>
    </w:tbl>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Davy</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7"/>
              </w:rPr>
              <w:t>March 31,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Joseph Davy</w:t>
            </w:r>
          </w:p>
        </w:tc>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2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Dean Ditto</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7"/>
              </w:rPr>
              <w:t>March 31,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Dean Ditto</w:t>
            </w:r>
          </w:p>
        </w:tc>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182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Paula Boggs</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7"/>
              </w:rPr>
              <w:t>March 31,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Paula Boggs</w:t>
            </w:r>
          </w:p>
        </w:tc>
        <w:tc>
          <w:tcPr>
            <w:tcW w:w="4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Jack Leeney</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7"/>
              </w:rPr>
              <w:t>March 31,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 Leeney</w:t>
            </w:r>
          </w:p>
        </w:tc>
        <w:tc>
          <w:tcPr>
            <w:tcW w:w="4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Mason Ward</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7"/>
              </w:rPr>
              <w:t>March 31, 2026</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Mason Ward</w:t>
            </w:r>
          </w:p>
        </w:tc>
        <w:tc>
          <w:tcPr>
            <w:tcW w:w="444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9440" w:type="dxa"/>
            <w:vAlign w:val="bottom"/>
            <w:gridSpan w:val="9"/>
          </w:tcPr>
          <w:p>
            <w:pPr>
              <w:ind w:left="3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0" w:type="dxa"/>
            <w:vAlign w:val="bottom"/>
          </w:tcPr>
          <w:p>
            <w:pPr>
              <w:spacing w:after="0"/>
              <w:rPr>
                <w:sz w:val="20"/>
                <w:szCs w:val="20"/>
                <w:color w:val="auto"/>
              </w:rPr>
            </w:pPr>
          </w:p>
        </w:tc>
      </w:tr>
      <w:tr>
        <w:trPr>
          <w:trHeight w:val="432"/>
        </w:trPr>
        <w:tc>
          <w:tcPr>
            <w:tcW w:w="5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6797)</w:t>
            </w:r>
          </w:p>
        </w:tc>
        <w:tc>
          <w:tcPr>
            <w:tcW w:w="3760" w:type="dxa"/>
            <w:vAlign w:val="bottom"/>
            <w:gridSpan w:val="4"/>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196"/>
        </w:trPr>
        <w:tc>
          <w:tcPr>
            <w:tcW w:w="9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688)</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46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top w:val="single" w:sz="8" w:color="0000FF"/>
              <w:bottom w:val="single" w:sz="8" w:color="0000EE"/>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38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9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and 2024</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344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(Deficit) for the Years ended December 31, 2025 and 2024</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784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2024</w:t>
            </w:r>
          </w:p>
        </w:tc>
        <w:tc>
          <w:tcPr>
            <w:tcW w:w="160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65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94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r>
      <w:tr>
        <w:trPr>
          <w:trHeight w:val="20"/>
        </w:trPr>
        <w:tc>
          <w:tcPr>
            <w:tcW w:w="344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spacing w:after="0" w:line="282" w:lineRule="auto"/>
        <w:rPr>
          <w:sz w:val="20"/>
          <w:szCs w:val="20"/>
          <w:color w:val="auto"/>
        </w:rPr>
      </w:pPr>
      <w:r>
        <w:rPr>
          <w:rFonts w:ascii="Times New Roman" w:cs="Times New Roman" w:eastAsia="Times New Roman" w:hAnsi="Times New Roman"/>
          <w:sz w:val="18"/>
          <w:szCs w:val="18"/>
          <w:color w:val="auto"/>
        </w:rPr>
        <w:t>are material to the consolidated financial statements and (2) involved our especially challenging, subjective, or complex judgements. We determined that the following is a critical audit matter:</w:t>
      </w:r>
    </w:p>
    <w:p>
      <w:pPr>
        <w:spacing w:after="0" w:line="270"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Vidello Limited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89,820 shares of Class A Common Stock together with the Cash Consideration, with allocation to identifiable assets, liabilities, and goodwill material to the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accounting for the acquisition included the following, among others:</w:t>
      </w:r>
    </w:p>
    <w:p>
      <w:pPr>
        <w:spacing w:after="0" w:line="279"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the transaction structure, acquisition date, and identify the acquirer.</w:t>
      </w:r>
    </w:p>
    <w:p>
      <w:pPr>
        <w:spacing w:after="0" w:line="27" w:lineRule="exact"/>
        <w:rPr>
          <w:rFonts w:ascii="Times New Roman" w:cs="Times New Roman" w:eastAsia="Times New Roman" w:hAnsi="Times New Roman"/>
          <w:sz w:val="18"/>
          <w:szCs w:val="18"/>
          <w:color w:val="auto"/>
        </w:rPr>
      </w:pPr>
    </w:p>
    <w:p>
      <w:pPr>
        <w:ind w:left="1020" w:hanging="503"/>
        <w:spacing w:after="0" w:line="207" w:lineRule="exact"/>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the total consideration (cash, shares, warrants, contingent/earn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to transaction documents and records.</w:t>
      </w:r>
    </w:p>
    <w:p>
      <w:pPr>
        <w:spacing w:after="0" w:line="91" w:lineRule="exact"/>
        <w:rPr>
          <w:rFonts w:ascii="Times New Roman" w:cs="Times New Roman" w:eastAsia="Times New Roman" w:hAnsi="Times New Roman"/>
          <w:sz w:val="18"/>
          <w:szCs w:val="18"/>
          <w:color w:val="auto"/>
        </w:rPr>
      </w:pPr>
    </w:p>
    <w:p>
      <w:pPr>
        <w:ind w:left="1020" w:hanging="503"/>
        <w:spacing w:after="0" w:line="207" w:lineRule="exact"/>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the accounting and fair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measurement of contingent/earn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consideration,</w:t>
      </w:r>
    </w:p>
    <w:p>
      <w:pPr>
        <w:spacing w:after="0" w:line="63" w:lineRule="exact"/>
        <w:rPr>
          <w:rFonts w:ascii="Times New Roman" w:cs="Times New Roman" w:eastAsia="Times New Roman" w:hAnsi="Times New Roman"/>
          <w:sz w:val="18"/>
          <w:szCs w:val="18"/>
          <w:color w:val="auto"/>
        </w:rPr>
      </w:pPr>
    </w:p>
    <w:p>
      <w:pPr>
        <w:ind w:left="1020" w:hanging="503"/>
        <w:spacing w:after="0" w:line="207" w:lineRule="exact"/>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identification and fair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 allocation of identifiable assets (PP&amp;E, intangibles) and liabilities assumed.</w:t>
      </w:r>
    </w:p>
    <w:p>
      <w:pPr>
        <w:spacing w:after="0" w:line="70"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our valuation specialists to assist in evaluating the appropriateness of the valuation methodologies and key assumptions (growth rates, discount rates, multiples, terminal value) in the client’s valuation report.</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the underlying financial data (revenue, EBITDA, working capital) used in the valuation against Vidello’s financials.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the Stock Purchase Agreement and related documents to understand the terms and conditions of the transaction</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management’s calculations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the Company’s disclosures related to the acquisition</w:t>
      </w:r>
    </w:p>
    <w:p>
      <w:pPr>
        <w:spacing w:after="0" w:line="329"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of Level 3 Financial Instruments and Acquisition-Related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Note 7 to the consolidated financial statements, the Company has issued multiple debt and financing instruments, including convertible notes, warrants, and acquisition-related goodwill and definite-lived intangible assets.</w:t>
      </w:r>
    </w:p>
    <w:p>
      <w:pPr>
        <w:spacing w:after="0" w:line="121"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 valuation of these liabilities requires the use of complex models (e.g., Monte Carlo simulations,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models, discounted cash flow models) and involves significant management judgment regarding volatility, discount rates, expected terms, credit spreads, and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conversion outcomes. These estimates are subjective, involve high measurement uncertainty, and are material to the financial statements. Therefore, this matter required especially challenging auditor judgment.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Our audit procedures included, among others:</w:t>
      </w:r>
    </w:p>
    <w:p>
      <w:pPr>
        <w:spacing w:after="0" w:line="279"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assessing the terms of the relevant agreements to confirm terms driving valuation inputs.</w:t>
      </w:r>
    </w:p>
    <w:p>
      <w:pPr>
        <w:spacing w:after="0" w:line="63" w:lineRule="exact"/>
        <w:rPr>
          <w:rFonts w:ascii="Times New Roman" w:cs="Times New Roman" w:eastAsia="Times New Roman" w:hAnsi="Times New Roman"/>
          <w:sz w:val="18"/>
          <w:szCs w:val="18"/>
          <w:color w:val="auto"/>
        </w:rPr>
      </w:pPr>
    </w:p>
    <w:p>
      <w:pPr>
        <w:ind w:left="1020" w:hanging="503"/>
        <w:spacing w:after="0" w:line="239" w:lineRule="exact"/>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reasonableness of key valuation inputs by comparing management’s assumptions to observable market data, including interest rates, volatility benchmarks, and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information.</w:t>
      </w:r>
    </w:p>
    <w:p>
      <w:pPr>
        <w:spacing w:after="0" w:line="8"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our valuation specialists to assist in evaluating the appropriateness of the valuation methodologies and independently developing fair value estimates to compare with management’s recorded amounts.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the valuation models.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related disclosures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/s/Bush &amp; Associates CPA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6797</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2023 to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Marlton, NJ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2025, except for Note 1 as to which the date is September 12,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7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420" w:type="dxa"/>
            <w:vAlign w:val="bottom"/>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259,205</w:t>
            </w:r>
          </w:p>
        </w:tc>
        <w:tc>
          <w:tcPr>
            <w:tcW w:w="740" w:type="dxa"/>
            <w:vAlign w:val="bottom"/>
            <w:gridSpan w:val="2"/>
            <w:shd w:val="clear" w:color="auto" w:fill="CFF0FC"/>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1,087,497</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$41,341 and $24,210, respectively</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709,203</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936,321</w:t>
            </w: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42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445,089</w:t>
            </w:r>
          </w:p>
        </w:tc>
        <w:tc>
          <w:tcPr>
            <w:tcW w:w="1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643,674</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420" w:type="dxa"/>
            <w:vAlign w:val="bottom"/>
          </w:tcPr>
          <w:p>
            <w:pPr>
              <w:spacing w:after="0"/>
              <w:rPr>
                <w:sz w:val="12"/>
                <w:szCs w:val="12"/>
                <w:color w:val="auto"/>
              </w:rPr>
            </w:pPr>
          </w:p>
        </w:tc>
        <w:tc>
          <w:tcPr>
            <w:tcW w:w="14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1,413,497</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2,667,492</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8,246</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3,539</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8,027,391</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3,883,853</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21,991,721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18,972,475</w:t>
            </w: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55,871</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72,565</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Bifurcated embedded derivative asset – related party</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63,000</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offering costs</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121,788</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11,154</w:t>
            </w:r>
          </w:p>
        </w:tc>
        <w:tc>
          <w:tcPr>
            <w:tcW w:w="0" w:type="dxa"/>
            <w:vAlign w:val="bottom"/>
          </w:tcPr>
          <w:p>
            <w:pPr>
              <w:spacing w:after="0"/>
              <w:rPr>
                <w:sz w:val="1"/>
                <w:szCs w:val="1"/>
                <w:color w:val="auto"/>
              </w:rPr>
            </w:pPr>
          </w:p>
        </w:tc>
      </w:tr>
      <w:tr>
        <w:trPr>
          <w:trHeight w:val="182"/>
        </w:trPr>
        <w:tc>
          <w:tcPr>
            <w:tcW w:w="73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31,631,514</w:t>
            </w:r>
          </w:p>
        </w:tc>
        <w:tc>
          <w:tcPr>
            <w:tcW w:w="1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25,674,078</w:t>
            </w:r>
          </w:p>
        </w:tc>
        <w:tc>
          <w:tcPr>
            <w:tcW w:w="0" w:type="dxa"/>
            <w:vAlign w:val="bottom"/>
          </w:tcPr>
          <w:p>
            <w:pPr>
              <w:spacing w:after="0"/>
              <w:rPr>
                <w:sz w:val="1"/>
                <w:szCs w:val="1"/>
                <w:color w:val="auto"/>
              </w:rPr>
            </w:pPr>
          </w:p>
        </w:tc>
      </w:tr>
      <w:tr>
        <w:trPr>
          <w:trHeight w:val="129"/>
        </w:trPr>
        <w:tc>
          <w:tcPr>
            <w:tcW w:w="7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2,494,451</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7,782,746</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4,353,943</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3,891,018</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 – related party</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4,922,601</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8,639,701</w:t>
            </w: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215,057</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 carried at fair value</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1,856,000</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 (Yorkville)</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1,200,501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Notes payable, carried at fair value</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2,591,310</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3,575,000</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Warrant liability – related party</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Private placement warrant liability</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295,603</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Earnout liability</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990,673</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14,850</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167,118</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3,642,527</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3,934,627</w:t>
            </w: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22,823</w:t>
            </w: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22,731</w:t>
            </w:r>
          </w:p>
        </w:tc>
        <w:tc>
          <w:tcPr>
            <w:tcW w:w="0" w:type="dxa"/>
            <w:vAlign w:val="bottom"/>
          </w:tcPr>
          <w:p>
            <w:pPr>
              <w:spacing w:after="0"/>
              <w:rPr>
                <w:sz w:val="1"/>
                <w:szCs w:val="1"/>
                <w:color w:val="auto"/>
              </w:rPr>
            </w:pPr>
          </w:p>
        </w:tc>
      </w:tr>
      <w:tr>
        <w:trPr>
          <w:trHeight w:val="142"/>
        </w:trPr>
        <w:tc>
          <w:tcPr>
            <w:tcW w:w="732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22,370,810</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28,260,148</w:t>
            </w: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 non-current</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93,726</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117,643</w:t>
            </w: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420" w:type="dxa"/>
            <w:vAlign w:val="bottom"/>
          </w:tcPr>
          <w:p>
            <w:pPr>
              <w:spacing w:after="0"/>
              <w:rPr>
                <w:sz w:val="12"/>
                <w:szCs w:val="12"/>
                <w:color w:val="auto"/>
              </w:rPr>
            </w:pPr>
          </w:p>
        </w:tc>
        <w:tc>
          <w:tcPr>
            <w:tcW w:w="14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1,078,055</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10,115</w:t>
            </w: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42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33,922</w:t>
            </w:r>
          </w:p>
        </w:tc>
        <w:tc>
          <w:tcPr>
            <w:tcW w:w="1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49,974</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23,576,513</w:t>
            </w: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28,437,880</w:t>
            </w:r>
          </w:p>
        </w:tc>
        <w:tc>
          <w:tcPr>
            <w:tcW w:w="0" w:type="dxa"/>
            <w:vAlign w:val="bottom"/>
          </w:tcPr>
          <w:p>
            <w:pPr>
              <w:spacing w:after="0"/>
              <w:rPr>
                <w:sz w:val="1"/>
                <w:szCs w:val="1"/>
                <w:color w:val="auto"/>
              </w:rPr>
            </w:pPr>
          </w:p>
        </w:tc>
      </w:tr>
      <w:tr>
        <w:trPr>
          <w:trHeight w:val="142"/>
        </w:trPr>
        <w:tc>
          <w:tcPr>
            <w:tcW w:w="7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15)</w:t>
            </w: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stock, $0.0001 par value, 275,000,000 (250,000,000 Class A and 25,000,000 Class B) shares authorized and</w:t>
            </w:r>
          </w:p>
        </w:tc>
        <w:tc>
          <w:tcPr>
            <w:tcW w:w="42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10,546,333 (10,315,219 Class A and 231,114 Class B) and 819,516 (588,402 Class A and 231,114 Class B) shares issued</w:t>
            </w:r>
          </w:p>
        </w:tc>
        <w:tc>
          <w:tcPr>
            <w:tcW w:w="420" w:type="dxa"/>
            <w:vAlign w:val="bottom"/>
            <w:shd w:val="clear" w:color="auto" w:fill="CFF0FC"/>
          </w:tcPr>
          <w:p>
            <w:pPr>
              <w:spacing w:after="0"/>
              <w:rPr>
                <w:sz w:val="12"/>
                <w:szCs w:val="12"/>
                <w:color w:val="auto"/>
              </w:rPr>
            </w:pPr>
          </w:p>
        </w:tc>
        <w:tc>
          <w:tcPr>
            <w:tcW w:w="14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1,055</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outstanding at December 31, 2025 and 2024, respectively</w:t>
            </w:r>
          </w:p>
        </w:tc>
        <w:tc>
          <w:tcPr>
            <w:tcW w:w="420" w:type="dxa"/>
            <w:vAlign w:val="bottom"/>
            <w:shd w:val="clear" w:color="auto" w:fill="CFF0FC"/>
          </w:tcPr>
          <w:p>
            <w:pPr>
              <w:spacing w:after="0"/>
              <w:rPr>
                <w:sz w:val="14"/>
                <w:szCs w:val="14"/>
                <w:color w:val="auto"/>
              </w:rPr>
            </w:pPr>
          </w:p>
        </w:tc>
        <w:tc>
          <w:tcPr>
            <w:tcW w:w="14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75,000,000 shares authorized, 1 and 1 shares issued and outstanding at December 31,</w:t>
            </w:r>
          </w:p>
        </w:tc>
        <w:tc>
          <w:tcPr>
            <w:tcW w:w="420" w:type="dxa"/>
            <w:vAlign w:val="bottom"/>
          </w:tcPr>
          <w:p>
            <w:pPr>
              <w:spacing w:after="0"/>
              <w:rPr>
                <w:sz w:val="10"/>
                <w:szCs w:val="10"/>
                <w:color w:val="auto"/>
              </w:rPr>
            </w:pPr>
          </w:p>
        </w:tc>
        <w:tc>
          <w:tcPr>
            <w:tcW w:w="1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2025 and 2024, respectively</w:t>
            </w:r>
          </w:p>
        </w:tc>
        <w:tc>
          <w:tcPr>
            <w:tcW w:w="4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4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108,911,110</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75,515,829</w:t>
            </w: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42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(85,377)</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3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42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(100,771,787)</w:t>
            </w:r>
          </w:p>
        </w:tc>
        <w:tc>
          <w:tcPr>
            <w:tcW w:w="1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(78,279,713)</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Stockholders' equity (deficit)</w:t>
            </w:r>
          </w:p>
        </w:tc>
        <w:tc>
          <w:tcPr>
            <w:tcW w:w="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8,055,001</w:t>
            </w: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(2,763,802)</w:t>
            </w:r>
          </w:p>
        </w:tc>
        <w:tc>
          <w:tcPr>
            <w:tcW w:w="0" w:type="dxa"/>
            <w:vAlign w:val="bottom"/>
          </w:tcPr>
          <w:p>
            <w:pPr>
              <w:spacing w:after="0"/>
              <w:rPr>
                <w:sz w:val="1"/>
                <w:szCs w:val="1"/>
                <w:color w:val="auto"/>
              </w:rPr>
            </w:pPr>
          </w:p>
        </w:tc>
      </w:tr>
      <w:tr>
        <w:trPr>
          <w:trHeight w:val="182"/>
        </w:trPr>
        <w:tc>
          <w:tcPr>
            <w:tcW w:w="73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420" w:type="dxa"/>
            <w:vAlign w:val="bottom"/>
            <w:tcBorders>
              <w:bottom w:val="single" w:sz="8" w:color="auto"/>
            </w:tcBorders>
            <w:shd w:val="clear" w:color="auto" w:fill="CFF0FC"/>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31,631,514</w:t>
            </w:r>
          </w:p>
        </w:tc>
        <w:tc>
          <w:tcPr>
            <w:tcW w:w="1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25,674,078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-4542790</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-3582670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-3565525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-1473835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-230505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99"/>
        </w:trPr>
        <w:tc>
          <w:tcPr>
            <w:tcW w:w="6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12,161,419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4,527,879</w:t>
            </w:r>
          </w:p>
        </w:tc>
      </w:tr>
      <w:tr>
        <w:trPr>
          <w:trHeight w:val="203"/>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2,188,583</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1,422,542</w:t>
            </w:r>
          </w:p>
        </w:tc>
      </w:tr>
      <w:tr>
        <w:trPr>
          <w:trHeight w:val="19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9,972,836</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3,105,337</w:t>
            </w:r>
          </w:p>
        </w:tc>
      </w:tr>
      <w:tr>
        <w:trPr>
          <w:trHeight w:val="196"/>
        </w:trPr>
        <w:tc>
          <w:tcPr>
            <w:tcW w:w="6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27,287,345</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16,548,902</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1,150,471</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24,179</w:t>
            </w:r>
          </w:p>
        </w:tc>
      </w:tr>
      <w:tr>
        <w:trPr>
          <w:trHeight w:val="19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28,437,816</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16,573,081</w:t>
            </w:r>
          </w:p>
        </w:tc>
      </w:tr>
      <w:tr>
        <w:trPr>
          <w:trHeight w:val="196"/>
        </w:trPr>
        <w:tc>
          <w:tcPr>
            <w:tcW w:w="6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(18,464,980)</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(13,467,744)</w:t>
            </w:r>
          </w:p>
        </w:tc>
      </w:tr>
      <w:tr>
        <w:trPr>
          <w:trHeight w:val="196"/>
        </w:trPr>
        <w:tc>
          <w:tcPr>
            <w:tcW w:w="6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 (income):</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GEM settlement fee expense</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200,000</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1,227,509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 related party</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1,156,984</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3,047,101</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Gain on extinguishment of liabilities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(4,488,627)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(680,762)</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release of Vidello revenue holdback</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(973,000)</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Loss on debt issuance</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444,000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653,208</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private placement issuance</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4,873,509</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Loss on issuance of term notes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110,500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issuance of convertible bridge notes</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152,826</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Loss on conversion and settlement of Alco promissory notes – related party</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4,808,882</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conversion and settlement of CP BF notes – related party</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6,529,402</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 net</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2,402,732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1,071,563</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(1,243,528)</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(626,000)</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liability – related party</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(572,700)</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bifurcated embedded derivative assets – related party</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54,000</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(51,000)</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(1,987,203)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693,000</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term notes</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173,055</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88,588</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convertible bridge notes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(10,176)</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Yorkville prepayment premium expense</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80,760</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Loss on Yorkville SEPA advances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974,079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Vidello earnout expense</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485,720</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Failed acquisition costs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1,382,002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2,725,460</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(726,572)</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88,329</w:t>
            </w:r>
          </w:p>
        </w:tc>
      </w:tr>
      <w:tr>
        <w:trPr>
          <w:trHeight w:val="19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expenses, net</w:t>
            </w:r>
          </w:p>
        </w:tc>
        <w:tc>
          <w:tcPr>
            <w:tcW w:w="1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3,966,478</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18,045,645</w:t>
            </w:r>
          </w:p>
        </w:tc>
      </w:tr>
      <w:tr>
        <w:trPr>
          <w:trHeight w:val="19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(22,431,458)</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(31,513,389)</w:t>
            </w:r>
          </w:p>
        </w:tc>
      </w:tr>
      <w:tr>
        <w:trPr>
          <w:trHeight w:val="19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60,617</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(22,492,075)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(31,513,389)</w:t>
            </w:r>
          </w:p>
        </w:tc>
      </w:tr>
      <w:tr>
        <w:trPr>
          <w:trHeight w:val="20"/>
        </w:trPr>
        <w:tc>
          <w:tcPr>
            <w:tcW w:w="6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3"/>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Deemed dividend - Series A and Series B warrant modification (net of tax)</w:t>
            </w:r>
          </w:p>
        </w:tc>
        <w:tc>
          <w:tcPr>
            <w:tcW w:w="1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(418,360)</w:t>
            </w:r>
          </w:p>
        </w:tc>
      </w:tr>
      <w:tr>
        <w:trPr>
          <w:trHeight w:val="39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(22,492,075)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(31,095,029)</w:t>
            </w:r>
          </w:p>
        </w:tc>
      </w:tr>
      <w:tr>
        <w:trPr>
          <w:trHeight w:val="20"/>
        </w:trPr>
        <w:tc>
          <w:tcPr>
            <w:tcW w:w="6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-5802630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-5005705</wp:posOffset>
            </wp:positionV>
            <wp:extent cx="939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-4731385</wp:posOffset>
            </wp:positionV>
            <wp:extent cx="939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-1113790</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-839470</wp:posOffset>
            </wp:positionV>
            <wp:extent cx="939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-419100</wp:posOffset>
            </wp:positionV>
            <wp:extent cx="93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Net loss per share attributable to common shareholders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Basic and diluted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Basic and diluted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tabs>
          <w:tab w:leader="none" w:pos="1260" w:val="left"/>
          <w:tab w:leader="none" w:pos="1860" w:val="left"/>
          <w:tab w:leader="none" w:pos="30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(5.95)</w:t>
        <w:tab/>
        <w:t>$</w:t>
      </w:r>
      <w:r>
        <w:rPr>
          <w:sz w:val="20"/>
          <w:szCs w:val="20"/>
          <w:color w:val="auto"/>
        </w:rPr>
        <w:tab/>
      </w:r>
      <w:r>
        <w:rPr>
          <w:rFonts w:ascii="Times New Roman" w:cs="Times New Roman" w:eastAsia="Times New Roman" w:hAnsi="Times New Roman"/>
          <w:sz w:val="16"/>
          <w:szCs w:val="16"/>
          <w:color w:val="auto"/>
        </w:rPr>
        <w:t>(69.75)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174625</wp:posOffset>
            </wp:positionV>
            <wp:extent cx="713232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-107315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960"/>
        <w:spacing w:after="0"/>
        <w:tabs>
          <w:tab w:leader="none" w:pos="2960" w:val="left"/>
        </w:tabs>
        <w:rPr>
          <w:sz w:val="20"/>
          <w:szCs w:val="20"/>
          <w:color w:val="auto"/>
        </w:rPr>
      </w:pPr>
      <w:r>
        <w:rPr>
          <w:rFonts w:ascii="Times New Roman" w:cs="Times New Roman" w:eastAsia="Times New Roman" w:hAnsi="Times New Roman"/>
          <w:sz w:val="16"/>
          <w:szCs w:val="16"/>
          <w:color w:val="auto"/>
        </w:rPr>
        <w:t>3,782,998</w:t>
      </w:r>
      <w:r>
        <w:rPr>
          <w:sz w:val="20"/>
          <w:szCs w:val="20"/>
          <w:color w:val="auto"/>
        </w:rPr>
        <w:tab/>
      </w:r>
      <w:r>
        <w:rPr>
          <w:rFonts w:ascii="Times New Roman" w:cs="Times New Roman" w:eastAsia="Times New Roman" w:hAnsi="Times New Roman"/>
          <w:sz w:val="16"/>
          <w:szCs w:val="16"/>
          <w:color w:val="auto"/>
        </w:rPr>
        <w:t>445,817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30568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4">
                      <a:extLst>
                        <a:ext uri="{28A0092B-C50C-407E-A947-70E740481C1C}"/>
                      </a:extLst>
                    </a:blip>
                    <a:srcRect/>
                    <a:stretch>
                      <a:fillRect/>
                    </a:stretch>
                  </pic:blipFill>
                  <pic:spPr bwMode="auto">
                    <a:xfrm>
                      <a:off x="0" y="0"/>
                      <a:ext cx="2305685" cy="2603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6880" w:space="720"/>
            <w:col w:w="3640"/>
          </w:cols>
          <w:pgMar w:left="320" w:top="981" w:right="3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20" w:type="dxa"/>
            <w:vAlign w:val="bottom"/>
          </w:tcPr>
          <w:p>
            <w:pPr>
              <w:spacing w:after="0"/>
              <w:rPr>
                <w:sz w:val="12"/>
                <w:szCs w:val="12"/>
                <w:color w:val="auto"/>
              </w:rPr>
            </w:pPr>
          </w:p>
        </w:tc>
        <w:tc>
          <w:tcPr>
            <w:tcW w:w="1420" w:type="dxa"/>
            <w:vAlign w:val="bottom"/>
            <w:gridSpan w:val="4"/>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Series FE Preferred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88"/>
              <w:spacing w:after="0" w:line="146" w:lineRule="exact"/>
              <w:rPr>
                <w:sz w:val="20"/>
                <w:szCs w:val="20"/>
                <w:color w:val="auto"/>
              </w:rPr>
            </w:pPr>
            <w:r>
              <w:rPr>
                <w:rFonts w:ascii="Times New Roman" w:cs="Times New Roman" w:eastAsia="Times New Roman" w:hAnsi="Times New Roman"/>
                <w:sz w:val="14"/>
                <w:szCs w:val="14"/>
                <w:b w:val="1"/>
                <w:bCs w:val="1"/>
                <w:color w:val="auto"/>
              </w:rPr>
              <w:t>al</w:t>
            </w:r>
          </w:p>
        </w:tc>
        <w:tc>
          <w:tcPr>
            <w:tcW w:w="120" w:type="dxa"/>
            <w:vAlign w:val="bottom"/>
          </w:tcPr>
          <w:p>
            <w:pPr>
              <w:spacing w:after="0"/>
              <w:rPr>
                <w:sz w:val="12"/>
                <w:szCs w:val="12"/>
                <w:color w:val="auto"/>
              </w:rPr>
            </w:pPr>
          </w:p>
        </w:tc>
        <w:tc>
          <w:tcPr>
            <w:tcW w:w="680" w:type="dxa"/>
            <w:vAlign w:val="bottom"/>
            <w:gridSpan w:val="2"/>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Compre</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8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68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6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20" w:type="dxa"/>
            <w:vAlign w:val="bottom"/>
          </w:tcPr>
          <w:p>
            <w:pPr>
              <w:spacing w:after="0"/>
              <w:rPr>
                <w:sz w:val="10"/>
                <w:szCs w:val="10"/>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vMerge w:val="restart"/>
          </w:tcPr>
          <w:p>
            <w:pPr>
              <w:spacing w:after="0"/>
              <w:rPr>
                <w:sz w:val="10"/>
                <w:szCs w:val="10"/>
                <w:color w:val="auto"/>
              </w:rPr>
            </w:pPr>
          </w:p>
        </w:tc>
        <w:tc>
          <w:tcPr>
            <w:tcW w:w="580" w:type="dxa"/>
            <w:vAlign w:val="bottom"/>
            <w:gridSpan w:val="2"/>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00" w:type="dxa"/>
            <w:vAlign w:val="bottom"/>
          </w:tcPr>
          <w:p>
            <w:pPr>
              <w:spacing w:after="0"/>
              <w:rPr>
                <w:sz w:val="10"/>
                <w:szCs w:val="10"/>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62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w:t>
            </w: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w:t>
            </w:r>
          </w:p>
        </w:tc>
        <w:tc>
          <w:tcPr>
            <w:tcW w:w="100" w:type="dxa"/>
            <w:vAlign w:val="bottom"/>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819,51</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82</w:t>
            </w:r>
          </w:p>
        </w:tc>
        <w:tc>
          <w:tcPr>
            <w:tcW w:w="20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75,515,</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(78,279,</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(2,763,8</w:t>
            </w:r>
          </w:p>
        </w:tc>
        <w:tc>
          <w:tcPr>
            <w:tcW w:w="0" w:type="dxa"/>
            <w:vAlign w:val="bottom"/>
          </w:tcPr>
          <w:p>
            <w:pPr>
              <w:spacing w:after="0"/>
              <w:rPr>
                <w:sz w:val="1"/>
                <w:szCs w:val="1"/>
                <w:color w:val="auto"/>
              </w:rPr>
            </w:pPr>
          </w:p>
        </w:tc>
      </w:tr>
      <w:tr>
        <w:trPr>
          <w:trHeight w:val="173"/>
        </w:trPr>
        <w:tc>
          <w:tcPr>
            <w:tcW w:w="3420" w:type="dxa"/>
            <w:vAlign w:val="bottom"/>
            <w:vMerge w:val="continue"/>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440" w:type="dxa"/>
            <w:vAlign w:val="bottom"/>
            <w:vMerge w:val="continue"/>
            <w:shd w:val="clear" w:color="auto" w:fill="CFF0FC"/>
          </w:tcPr>
          <w:p>
            <w:pPr>
              <w:spacing w:after="0"/>
              <w:rPr>
                <w:sz w:val="15"/>
                <w:szCs w:val="15"/>
                <w:color w:val="auto"/>
              </w:rPr>
            </w:pPr>
          </w:p>
        </w:tc>
        <w:tc>
          <w:tcPr>
            <w:tcW w:w="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w:t>
            </w:r>
          </w:p>
        </w:tc>
        <w:tc>
          <w:tcPr>
            <w:tcW w:w="240" w:type="dxa"/>
            <w:vAlign w:val="bottom"/>
            <w:gridSpan w:val="2"/>
            <w:vMerge w:val="continue"/>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200" w:type="dxa"/>
            <w:vAlign w:val="bottom"/>
            <w:gridSpan w:val="2"/>
            <w:vMerge w:val="continue"/>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829</w:t>
            </w:r>
          </w:p>
        </w:tc>
        <w:tc>
          <w:tcPr>
            <w:tcW w:w="180" w:type="dxa"/>
            <w:vAlign w:val="bottom"/>
            <w:gridSpan w:val="2"/>
            <w:vMerge w:val="continue"/>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80" w:type="dxa"/>
            <w:vAlign w:val="bottom"/>
            <w:gridSpan w:val="2"/>
            <w:vMerge w:val="continue"/>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713)</w:t>
            </w:r>
          </w:p>
        </w:tc>
        <w:tc>
          <w:tcPr>
            <w:tcW w:w="200" w:type="dxa"/>
            <w:vAlign w:val="bottom"/>
            <w:gridSpan w:val="2"/>
            <w:vMerge w:val="continue"/>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0" w:type="dxa"/>
            <w:vAlign w:val="bottom"/>
          </w:tcPr>
          <w:p>
            <w:pPr>
              <w:spacing w:after="0"/>
              <w:rPr>
                <w:sz w:val="1"/>
                <w:szCs w:val="1"/>
                <w:color w:val="auto"/>
              </w:rPr>
            </w:pPr>
          </w:p>
        </w:tc>
      </w:tr>
      <w:tr>
        <w:trPr>
          <w:trHeight w:val="126"/>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Shares issued to Yorkville under the SEPA</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2,882,0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18,602,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18,603,2</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6"/>
        </w:trPr>
        <w:tc>
          <w:tcPr>
            <w:tcW w:w="34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Shares issued under ATM</w:t>
            </w: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1,816,3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3,429,0</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3,429,25</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26"/>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Shares issued to FE</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1,176,6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 issued upon private placement</w:t>
            </w: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64,237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329,990</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329,996</w:t>
            </w:r>
          </w:p>
        </w:tc>
        <w:tc>
          <w:tcPr>
            <w:tcW w:w="0" w:type="dxa"/>
            <w:vAlign w:val="bottom"/>
          </w:tcPr>
          <w:p>
            <w:pPr>
              <w:spacing w:after="0"/>
              <w:rPr>
                <w:sz w:val="1"/>
                <w:szCs w:val="1"/>
                <w:color w:val="auto"/>
              </w:rPr>
            </w:pPr>
          </w:p>
        </w:tc>
      </w:tr>
      <w:tr>
        <w:trPr>
          <w:trHeight w:val="126"/>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Shares issued for payment to Hudson</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130,60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974,247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974,261</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 issued for payment to Verista</w:t>
            </w: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49,800</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49,800</w:t>
            </w:r>
          </w:p>
        </w:tc>
        <w:tc>
          <w:tcPr>
            <w:tcW w:w="0" w:type="dxa"/>
            <w:vAlign w:val="bottom"/>
          </w:tcPr>
          <w:p>
            <w:pPr>
              <w:spacing w:after="0"/>
              <w:rPr>
                <w:sz w:val="1"/>
                <w:szCs w:val="1"/>
                <w:color w:val="auto"/>
              </w:rPr>
            </w:pPr>
          </w:p>
        </w:tc>
      </w:tr>
      <w:tr>
        <w:trPr>
          <w:trHeight w:val="148"/>
        </w:trPr>
        <w:tc>
          <w:tcPr>
            <w:tcW w:w="3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 issued for payment to Houlihan</w:t>
            </w: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30,809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30,810</w:t>
            </w:r>
          </w:p>
        </w:tc>
        <w:tc>
          <w:tcPr>
            <w:tcW w:w="0" w:type="dxa"/>
            <w:vAlign w:val="bottom"/>
          </w:tcPr>
          <w:p>
            <w:pPr>
              <w:spacing w:after="0"/>
              <w:rPr>
                <w:sz w:val="1"/>
                <w:szCs w:val="1"/>
                <w:color w:val="auto"/>
              </w:rPr>
            </w:pPr>
          </w:p>
        </w:tc>
      </w:tr>
      <w:tr>
        <w:trPr>
          <w:trHeight w:val="126"/>
        </w:trPr>
        <w:tc>
          <w:tcPr>
            <w:tcW w:w="34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Shares issued for payment to Perkins Coie</w:t>
            </w: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130,00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365,287</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365,300</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 issued for payment to Acorn</w:t>
            </w: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22,631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22,632</w:t>
            </w:r>
          </w:p>
        </w:tc>
        <w:tc>
          <w:tcPr>
            <w:tcW w:w="0" w:type="dxa"/>
            <w:vAlign w:val="bottom"/>
          </w:tcPr>
          <w:p>
            <w:pPr>
              <w:spacing w:after="0"/>
              <w:rPr>
                <w:sz w:val="1"/>
                <w:szCs w:val="1"/>
                <w:color w:val="auto"/>
              </w:rPr>
            </w:pPr>
          </w:p>
        </w:tc>
      </w:tr>
      <w:tr>
        <w:trPr>
          <w:trHeight w:val="126"/>
        </w:trPr>
        <w:tc>
          <w:tcPr>
            <w:tcW w:w="34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Shares issued for Vidello acquisition</w:t>
            </w: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89,820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1,661,6</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1,661,67</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26"/>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Shares issued to 1800 Diagonal for conversions of debt</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240,88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457,469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457,493</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Shares issued to 3i for conversions of debt</w:t>
            </w: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2,565,7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4,342,8</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4,343,11</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26"/>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Shares issued to Agile for conversions of debt</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232,78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283,977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284,000</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 issued to CP BF for conversions of debt</w:t>
            </w: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62,700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165,455</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165,461</w:t>
            </w:r>
          </w:p>
        </w:tc>
        <w:tc>
          <w:tcPr>
            <w:tcW w:w="0" w:type="dxa"/>
            <w:vAlign w:val="bottom"/>
          </w:tcPr>
          <w:p>
            <w:pPr>
              <w:spacing w:after="0"/>
              <w:rPr>
                <w:sz w:val="1"/>
                <w:szCs w:val="1"/>
                <w:color w:val="auto"/>
              </w:rPr>
            </w:pPr>
          </w:p>
        </w:tc>
      </w:tr>
      <w:tr>
        <w:trPr>
          <w:trHeight w:val="126"/>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2,679,2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2,679,23</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34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Vesting of RSUs</w:t>
            </w: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200,95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Exercise of warrants</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104,88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(85,377)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(85,377)</w:t>
            </w:r>
          </w:p>
        </w:tc>
        <w:tc>
          <w:tcPr>
            <w:tcW w:w="0" w:type="dxa"/>
            <w:vAlign w:val="bottom"/>
          </w:tcPr>
          <w:p>
            <w:pPr>
              <w:spacing w:after="0"/>
              <w:rPr>
                <w:sz w:val="1"/>
                <w:szCs w:val="1"/>
                <w:color w:val="auto"/>
              </w:rPr>
            </w:pPr>
          </w:p>
        </w:tc>
      </w:tr>
      <w:tr>
        <w:trPr>
          <w:trHeight w:val="126"/>
        </w:trPr>
        <w:tc>
          <w:tcPr>
            <w:tcW w:w="3420" w:type="dxa"/>
            <w:vAlign w:val="bottom"/>
          </w:tcPr>
          <w:p>
            <w:pPr>
              <w:spacing w:after="0"/>
              <w:rPr>
                <w:sz w:val="10"/>
                <w:szCs w:val="10"/>
                <w:color w:val="auto"/>
              </w:rPr>
            </w:pP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(22,492,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(22,492,</w:t>
            </w:r>
          </w:p>
        </w:tc>
        <w:tc>
          <w:tcPr>
            <w:tcW w:w="0" w:type="dxa"/>
            <w:vAlign w:val="bottom"/>
          </w:tcPr>
          <w:p>
            <w:pPr>
              <w:spacing w:after="0"/>
              <w:rPr>
                <w:sz w:val="1"/>
                <w:szCs w:val="1"/>
                <w:color w:val="auto"/>
              </w:rPr>
            </w:pPr>
          </w:p>
        </w:tc>
      </w:tr>
      <w:tr>
        <w:trPr>
          <w:trHeight w:val="171"/>
        </w:trPr>
        <w:tc>
          <w:tcPr>
            <w:tcW w:w="3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0" w:type="dxa"/>
            <w:vAlign w:val="bottom"/>
          </w:tcPr>
          <w:p>
            <w:pPr>
              <w:spacing w:after="0"/>
              <w:rPr>
                <w:sz w:val="1"/>
                <w:szCs w:val="1"/>
                <w:color w:val="auto"/>
              </w:rPr>
            </w:pPr>
          </w:p>
        </w:tc>
      </w:tr>
      <w:tr>
        <w:trPr>
          <w:trHeight w:val="117"/>
        </w:trPr>
        <w:tc>
          <w:tcPr>
            <w:tcW w:w="34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10,546,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108,911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(100,77</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8,055,00</w:t>
            </w:r>
          </w:p>
        </w:tc>
        <w:tc>
          <w:tcPr>
            <w:tcW w:w="0" w:type="dxa"/>
            <w:vAlign w:val="bottom"/>
          </w:tcPr>
          <w:p>
            <w:pPr>
              <w:spacing w:after="0"/>
              <w:rPr>
                <w:sz w:val="1"/>
                <w:szCs w:val="1"/>
                <w:color w:val="auto"/>
              </w:rPr>
            </w:pPr>
          </w:p>
        </w:tc>
      </w:tr>
      <w:tr>
        <w:trPr>
          <w:trHeight w:val="213"/>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720" w:type="dxa"/>
            <w:vAlign w:val="bottom"/>
            <w:tcBorders>
              <w:bottom w:val="single" w:sz="8" w:color="auto"/>
            </w:tcBorders>
            <w:shd w:val="clear" w:color="auto" w:fill="CFF0FC"/>
          </w:tcPr>
          <w:p>
            <w:pPr>
              <w:ind w:left="44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FF0FC"/>
          </w:tcPr>
          <w:p>
            <w:pPr>
              <w:ind w:left="20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ind w:left="44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CFF0FC"/>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333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shd w:val="clear" w:color="auto" w:fill="CFF0FC"/>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1,055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FF0FC"/>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,110</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(85,377)</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1,788)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FF0FC"/>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2"/>
        </w:trPr>
        <w:tc>
          <w:tcPr>
            <w:tcW w:w="3740" w:type="dxa"/>
            <w:vAlign w:val="bottom"/>
          </w:tcPr>
          <w:p>
            <w:pPr>
              <w:spacing w:after="0"/>
              <w:rPr>
                <w:sz w:val="15"/>
                <w:szCs w:val="15"/>
                <w:color w:val="auto"/>
              </w:rPr>
            </w:pPr>
          </w:p>
        </w:tc>
        <w:tc>
          <w:tcPr>
            <w:tcW w:w="1460" w:type="dxa"/>
            <w:vAlign w:val="bottom"/>
            <w:gridSpan w:val="4"/>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Series A Preferred</w:t>
            </w:r>
          </w:p>
        </w:tc>
        <w:tc>
          <w:tcPr>
            <w:tcW w:w="120" w:type="dxa"/>
            <w:vAlign w:val="bottom"/>
          </w:tcPr>
          <w:p>
            <w:pPr>
              <w:spacing w:after="0"/>
              <w:rPr>
                <w:sz w:val="15"/>
                <w:szCs w:val="15"/>
                <w:color w:val="auto"/>
              </w:rPr>
            </w:pPr>
          </w:p>
        </w:tc>
        <w:tc>
          <w:tcPr>
            <w:tcW w:w="1460" w:type="dxa"/>
            <w:vAlign w:val="bottom"/>
            <w:gridSpan w:val="4"/>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Series FE Preferred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Additiona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ind w:right="84"/>
              <w:spacing w:after="0" w:line="156" w:lineRule="exact"/>
              <w:rPr>
                <w:sz w:val="20"/>
                <w:szCs w:val="20"/>
                <w:color w:val="auto"/>
              </w:rPr>
            </w:pPr>
            <w:r>
              <w:rPr>
                <w:rFonts w:ascii="Times New Roman" w:cs="Times New Roman" w:eastAsia="Times New Roman" w:hAnsi="Times New Roman"/>
                <w:sz w:val="15"/>
                <w:szCs w:val="15"/>
                <w:b w:val="1"/>
                <w:bCs w:val="1"/>
                <w:color w:val="auto"/>
                <w:w w:val="94"/>
              </w:rPr>
              <w:t>l</w:t>
            </w:r>
          </w:p>
        </w:tc>
        <w:tc>
          <w:tcPr>
            <w:tcW w:w="120" w:type="dxa"/>
            <w:vAlign w:val="bottom"/>
          </w:tcPr>
          <w:p>
            <w:pPr>
              <w:spacing w:after="0"/>
              <w:rPr>
                <w:sz w:val="13"/>
                <w:szCs w:val="13"/>
                <w:color w:val="auto"/>
              </w:rPr>
            </w:pPr>
          </w:p>
        </w:tc>
        <w:tc>
          <w:tcPr>
            <w:tcW w:w="780" w:type="dxa"/>
            <w:vAlign w:val="bottom"/>
            <w:gridSpan w:val="2"/>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Accumul</w:t>
            </w:r>
          </w:p>
        </w:tc>
        <w:tc>
          <w:tcPr>
            <w:tcW w:w="100" w:type="dxa"/>
            <w:vAlign w:val="bottom"/>
          </w:tcPr>
          <w:p>
            <w:pPr>
              <w:spacing w:after="0"/>
              <w:rPr>
                <w:sz w:val="13"/>
                <w:szCs w:val="13"/>
                <w:color w:val="auto"/>
              </w:rPr>
            </w:pPr>
          </w:p>
        </w:tc>
        <w:tc>
          <w:tcPr>
            <w:tcW w:w="900" w:type="dxa"/>
            <w:vAlign w:val="bottom"/>
            <w:gridSpan w:val="2"/>
          </w:tcPr>
          <w:p>
            <w:pPr>
              <w:jc w:val="center"/>
              <w:ind w:right="64"/>
              <w:spacing w:after="0" w:line="156" w:lineRule="exact"/>
              <w:rPr>
                <w:sz w:val="20"/>
                <w:szCs w:val="20"/>
                <w:color w:val="auto"/>
              </w:rPr>
            </w:pPr>
            <w:r>
              <w:rPr>
                <w:rFonts w:ascii="Times New Roman" w:cs="Times New Roman" w:eastAsia="Times New Roman" w:hAnsi="Times New Roman"/>
                <w:sz w:val="15"/>
                <w:szCs w:val="15"/>
                <w:b w:val="1"/>
                <w:bCs w:val="1"/>
                <w:color w:val="auto"/>
              </w:rPr>
              <w:t>Stockholde</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9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Stock</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rPr>
              <w:t>rs'</w:t>
            </w: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Amoun</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Amoun</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04"/>
              <w:spacing w:after="0" w:line="134"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34"/>
        </w:trPr>
        <w:tc>
          <w:tcPr>
            <w:tcW w:w="37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4"/>
              <w:spacing w:after="0" w:line="134" w:lineRule="exact"/>
              <w:rPr>
                <w:sz w:val="20"/>
                <w:szCs w:val="20"/>
                <w:color w:val="auto"/>
              </w:rPr>
            </w:pPr>
            <w:r>
              <w:rPr>
                <w:rFonts w:ascii="Times New Roman" w:cs="Times New Roman" w:eastAsia="Times New Roman" w:hAnsi="Times New Roman"/>
                <w:sz w:val="15"/>
                <w:szCs w:val="15"/>
                <w:b w:val="1"/>
                <w:bCs w:val="1"/>
                <w:color w:val="auto"/>
              </w:rPr>
              <w:t>14,890,1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4"/>
              <w:spacing w:after="0" w:line="134" w:lineRule="exact"/>
              <w:rPr>
                <w:sz w:val="20"/>
                <w:szCs w:val="20"/>
                <w:color w:val="auto"/>
              </w:rPr>
            </w:pPr>
            <w:r>
              <w:rPr>
                <w:rFonts w:ascii="Times New Roman" w:cs="Times New Roman" w:eastAsia="Times New Roman" w:hAnsi="Times New Roman"/>
                <w:sz w:val="15"/>
                <w:szCs w:val="15"/>
                <w:b w:val="1"/>
                <w:bCs w:val="1"/>
                <w:color w:val="auto"/>
              </w:rPr>
              <w:t>(46,766,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4"/>
              <w:spacing w:after="0" w:line="134" w:lineRule="exact"/>
              <w:rPr>
                <w:sz w:val="20"/>
                <w:szCs w:val="20"/>
                <w:color w:val="auto"/>
              </w:rPr>
            </w:pPr>
            <w:r>
              <w:rPr>
                <w:rFonts w:ascii="Times New Roman" w:cs="Times New Roman" w:eastAsia="Times New Roman" w:hAnsi="Times New Roman"/>
                <w:sz w:val="15"/>
                <w:szCs w:val="15"/>
                <w:b w:val="1"/>
                <w:bCs w:val="1"/>
                <w:color w:val="auto"/>
              </w:rPr>
              <w:t>(31,876,1</w:t>
            </w: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258,529</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26</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69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324)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29)</w:t>
            </w:r>
          </w:p>
        </w:tc>
        <w:tc>
          <w:tcPr>
            <w:tcW w:w="0" w:type="dxa"/>
            <w:vAlign w:val="bottom"/>
          </w:tcPr>
          <w:p>
            <w:pPr>
              <w:spacing w:after="0"/>
              <w:rPr>
                <w:sz w:val="1"/>
                <w:szCs w:val="1"/>
                <w:color w:val="auto"/>
              </w:rPr>
            </w:pPr>
          </w:p>
        </w:tc>
      </w:tr>
      <w:tr>
        <w:trPr>
          <w:trHeight w:val="162"/>
        </w:trPr>
        <w:tc>
          <w:tcPr>
            <w:tcW w:w="37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Effect of reverse stock split</w:t>
            </w:r>
          </w:p>
        </w:tc>
        <w:tc>
          <w:tcPr>
            <w:tcW w:w="72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18,959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3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2,540,09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Conversion of convertible notes - related party</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1,781</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2,540,091</w:t>
            </w:r>
          </w:p>
        </w:tc>
        <w:tc>
          <w:tcPr>
            <w:tcW w:w="0" w:type="dxa"/>
            <w:vAlign w:val="bottom"/>
          </w:tcPr>
          <w:p>
            <w:pPr>
              <w:spacing w:after="0"/>
              <w:rPr>
                <w:sz w:val="1"/>
                <w:szCs w:val="1"/>
                <w:color w:val="auto"/>
              </w:rPr>
            </w:pPr>
          </w:p>
        </w:tc>
      </w:tr>
      <w:tr>
        <w:trPr>
          <w:trHeight w:val="145"/>
        </w:trPr>
        <w:tc>
          <w:tcPr>
            <w:tcW w:w="3740" w:type="dxa"/>
            <w:vAlign w:val="bottom"/>
          </w:tcPr>
          <w:p>
            <w:pPr>
              <w:spacing w:after="0"/>
              <w:rPr>
                <w:sz w:val="12"/>
                <w:szCs w:val="12"/>
                <w:color w:val="auto"/>
              </w:rPr>
            </w:pP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4,129,99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Shares issued to Yorkville for convertible notes</w:t>
            </w: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45,416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4,130,000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issued to Yorkville for commitment fee</w:t>
            </w:r>
          </w:p>
        </w:tc>
        <w:tc>
          <w:tcPr>
            <w:tcW w:w="72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1,420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0" w:type="dxa"/>
            <w:vAlign w:val="bottom"/>
          </w:tcPr>
          <w:p>
            <w:pPr>
              <w:spacing w:after="0"/>
              <w:rPr>
                <w:sz w:val="1"/>
                <w:szCs w:val="1"/>
                <w:color w:val="auto"/>
              </w:rPr>
            </w:pPr>
          </w:p>
        </w:tc>
      </w:tr>
      <w:tr>
        <w:trPr>
          <w:trHeight w:val="162"/>
        </w:trPr>
        <w:tc>
          <w:tcPr>
            <w:tcW w:w="37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to Yorkville for redemption premium</w:t>
            </w:r>
          </w:p>
        </w:tc>
        <w:tc>
          <w:tcPr>
            <w:tcW w:w="72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115,800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115,800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issued to Roth for advisory fee</w:t>
            </w:r>
          </w:p>
        </w:tc>
        <w:tc>
          <w:tcPr>
            <w:tcW w:w="72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3,879</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578,832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578,833</w:t>
            </w:r>
          </w:p>
        </w:tc>
        <w:tc>
          <w:tcPr>
            <w:tcW w:w="0" w:type="dxa"/>
            <w:vAlign w:val="bottom"/>
          </w:tcPr>
          <w:p>
            <w:pPr>
              <w:spacing w:after="0"/>
              <w:rPr>
                <w:sz w:val="1"/>
                <w:szCs w:val="1"/>
                <w:color w:val="auto"/>
              </w:rPr>
            </w:pPr>
          </w:p>
        </w:tc>
      </w:tr>
      <w:tr>
        <w:trPr>
          <w:trHeight w:val="162"/>
        </w:trPr>
        <w:tc>
          <w:tcPr>
            <w:tcW w:w="37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to GEM</w:t>
            </w:r>
          </w:p>
        </w:tc>
        <w:tc>
          <w:tcPr>
            <w:tcW w:w="72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19,000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784,941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784,943</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issued for marketing expense</w:t>
            </w:r>
          </w:p>
        </w:tc>
        <w:tc>
          <w:tcPr>
            <w:tcW w:w="72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947</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334,772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334,772</w:t>
            </w:r>
          </w:p>
        </w:tc>
        <w:tc>
          <w:tcPr>
            <w:tcW w:w="0" w:type="dxa"/>
            <w:vAlign w:val="bottom"/>
          </w:tcPr>
          <w:p>
            <w:pPr>
              <w:spacing w:after="0"/>
              <w:rPr>
                <w:sz w:val="1"/>
                <w:szCs w:val="1"/>
                <w:color w:val="auto"/>
              </w:rPr>
            </w:pPr>
          </w:p>
        </w:tc>
      </w:tr>
      <w:tr>
        <w:trPr>
          <w:trHeight w:val="162"/>
        </w:trPr>
        <w:tc>
          <w:tcPr>
            <w:tcW w:w="37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Forfeiture of sponsor shares</w:t>
            </w:r>
          </w:p>
        </w:tc>
        <w:tc>
          <w:tcPr>
            <w:tcW w:w="72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37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Issuance of common stock and warrants, net of issuance</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6,257,36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costs</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10,456</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6,257,368</w:t>
            </w:r>
          </w:p>
        </w:tc>
        <w:tc>
          <w:tcPr>
            <w:tcW w:w="0" w:type="dxa"/>
            <w:vAlign w:val="bottom"/>
          </w:tcPr>
          <w:p>
            <w:pPr>
              <w:spacing w:after="0"/>
              <w:rPr>
                <w:sz w:val="1"/>
                <w:szCs w:val="1"/>
                <w:color w:val="auto"/>
              </w:rPr>
            </w:pPr>
          </w:p>
        </w:tc>
      </w:tr>
      <w:tr>
        <w:trPr>
          <w:trHeight w:val="145"/>
        </w:trPr>
        <w:tc>
          <w:tcPr>
            <w:tcW w:w="37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Incremental fair value of Series A and Series B warrant</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modification</w:t>
            </w: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418,360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418,360</w:t>
            </w:r>
          </w:p>
        </w:tc>
        <w:tc>
          <w:tcPr>
            <w:tcW w:w="0" w:type="dxa"/>
            <w:vAlign w:val="bottom"/>
          </w:tcPr>
          <w:p>
            <w:pPr>
              <w:spacing w:after="0"/>
              <w:rPr>
                <w:sz w:val="1"/>
                <w:szCs w:val="1"/>
                <w:color w:val="auto"/>
              </w:rPr>
            </w:pPr>
          </w:p>
        </w:tc>
      </w:tr>
      <w:tr>
        <w:trPr>
          <w:trHeight w:val="145"/>
        </w:trPr>
        <w:tc>
          <w:tcPr>
            <w:tcW w:w="37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Deemed dividend - Series A and Series B warrant</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modification</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(418,360)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(418,360)</w:t>
            </w:r>
          </w:p>
        </w:tc>
        <w:tc>
          <w:tcPr>
            <w:tcW w:w="0" w:type="dxa"/>
            <w:vAlign w:val="bottom"/>
          </w:tcPr>
          <w:p>
            <w:pPr>
              <w:spacing w:after="0"/>
              <w:rPr>
                <w:sz w:val="1"/>
                <w:szCs w:val="1"/>
                <w:color w:val="auto"/>
              </w:rPr>
            </w:pPr>
          </w:p>
        </w:tc>
      </w:tr>
      <w:tr>
        <w:trPr>
          <w:trHeight w:val="162"/>
        </w:trPr>
        <w:tc>
          <w:tcPr>
            <w:tcW w:w="37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for exercise of Pre-Funded warrants</w:t>
            </w:r>
          </w:p>
        </w:tc>
        <w:tc>
          <w:tcPr>
            <w:tcW w:w="72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17,322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866</w:t>
            </w:r>
          </w:p>
        </w:tc>
        <w:tc>
          <w:tcPr>
            <w:tcW w:w="0" w:type="dxa"/>
            <w:vAlign w:val="bottom"/>
          </w:tcPr>
          <w:p>
            <w:pPr>
              <w:spacing w:after="0"/>
              <w:rPr>
                <w:sz w:val="1"/>
                <w:szCs w:val="1"/>
                <w:color w:val="auto"/>
              </w:rPr>
            </w:pPr>
          </w:p>
        </w:tc>
      </w:tr>
      <w:tr>
        <w:trPr>
          <w:trHeight w:val="145"/>
        </w:trPr>
        <w:tc>
          <w:tcPr>
            <w:tcW w:w="37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Shares, warrants and pre-funded warrants issued to CP BF</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1,287,00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on modification of CP BF debt agreement</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33,085</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1,287,003</w:t>
            </w:r>
          </w:p>
        </w:tc>
        <w:tc>
          <w:tcPr>
            <w:tcW w:w="0" w:type="dxa"/>
            <w:vAlign w:val="bottom"/>
          </w:tcPr>
          <w:p>
            <w:pPr>
              <w:spacing w:after="0"/>
              <w:rPr>
                <w:sz w:val="1"/>
                <w:szCs w:val="1"/>
                <w:color w:val="auto"/>
              </w:rPr>
            </w:pPr>
          </w:p>
        </w:tc>
      </w:tr>
      <w:tr>
        <w:trPr>
          <w:trHeight w:val="145"/>
        </w:trPr>
        <w:tc>
          <w:tcPr>
            <w:tcW w:w="3740" w:type="dxa"/>
            <w:vAlign w:val="bottom"/>
          </w:tcPr>
          <w:p>
            <w:pPr>
              <w:spacing w:after="0"/>
              <w:rPr>
                <w:sz w:val="12"/>
                <w:szCs w:val="12"/>
                <w:color w:val="auto"/>
              </w:rPr>
            </w:pP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4,079,22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Premium issued as part of CP BF debt modification</w:t>
            </w: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4,079,225</w:t>
            </w:r>
          </w:p>
        </w:tc>
        <w:tc>
          <w:tcPr>
            <w:tcW w:w="0" w:type="dxa"/>
            <w:vAlign w:val="bottom"/>
          </w:tcPr>
          <w:p>
            <w:pPr>
              <w:spacing w:after="0"/>
              <w:rPr>
                <w:sz w:val="1"/>
                <w:szCs w:val="1"/>
                <w:color w:val="auto"/>
              </w:rPr>
            </w:pPr>
          </w:p>
        </w:tc>
      </w:tr>
      <w:tr>
        <w:trPr>
          <w:trHeight w:val="145"/>
        </w:trPr>
        <w:tc>
          <w:tcPr>
            <w:tcW w:w="3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2,763,16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Issuance of warrants to CP BF, net of issuance costs</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2,763,161</w:t>
            </w:r>
          </w:p>
        </w:tc>
        <w:tc>
          <w:tcPr>
            <w:tcW w:w="0" w:type="dxa"/>
            <w:vAlign w:val="bottom"/>
          </w:tcPr>
          <w:p>
            <w:pPr>
              <w:spacing w:after="0"/>
              <w:rPr>
                <w:sz w:val="1"/>
                <w:szCs w:val="1"/>
                <w:color w:val="auto"/>
              </w:rPr>
            </w:pPr>
          </w:p>
        </w:tc>
      </w:tr>
      <w:tr>
        <w:trPr>
          <w:trHeight w:val="162"/>
        </w:trPr>
        <w:tc>
          <w:tcPr>
            <w:tcW w:w="37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to MZHCI for investor relations services</w:t>
            </w:r>
          </w:p>
        </w:tc>
        <w:tc>
          <w:tcPr>
            <w:tcW w:w="72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2,400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94,800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94,800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issued to J.V.B for payment of outstanding debt</w:t>
            </w:r>
          </w:p>
        </w:tc>
        <w:tc>
          <w:tcPr>
            <w:tcW w:w="72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2,908</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115,000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115,000</w:t>
            </w:r>
          </w:p>
        </w:tc>
        <w:tc>
          <w:tcPr>
            <w:tcW w:w="0" w:type="dxa"/>
            <w:vAlign w:val="bottom"/>
          </w:tcPr>
          <w:p>
            <w:pPr>
              <w:spacing w:after="0"/>
              <w:rPr>
                <w:sz w:val="1"/>
                <w:szCs w:val="1"/>
                <w:color w:val="auto"/>
              </w:rPr>
            </w:pPr>
          </w:p>
        </w:tc>
      </w:tr>
      <w:tr>
        <w:trPr>
          <w:trHeight w:val="145"/>
        </w:trPr>
        <w:tc>
          <w:tcPr>
            <w:tcW w:w="37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Shares, warrants and pre-funded warrants issued to Alco</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8,866,61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on settlement of Alco promissory notes</w:t>
            </w: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28,242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8,866,620</w:t>
            </w:r>
          </w:p>
        </w:tc>
        <w:tc>
          <w:tcPr>
            <w:tcW w:w="0" w:type="dxa"/>
            <w:vAlign w:val="bottom"/>
          </w:tcPr>
          <w:p>
            <w:pPr>
              <w:spacing w:after="0"/>
              <w:rPr>
                <w:sz w:val="1"/>
                <w:szCs w:val="1"/>
                <w:color w:val="auto"/>
              </w:rPr>
            </w:pPr>
          </w:p>
        </w:tc>
      </w:tr>
      <w:tr>
        <w:trPr>
          <w:trHeight w:val="145"/>
        </w:trPr>
        <w:tc>
          <w:tcPr>
            <w:tcW w:w="3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4,000,00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Derecognition of Cantor fee</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4,000,000</w:t>
            </w:r>
          </w:p>
        </w:tc>
        <w:tc>
          <w:tcPr>
            <w:tcW w:w="0" w:type="dxa"/>
            <w:vAlign w:val="bottom"/>
          </w:tcPr>
          <w:p>
            <w:pPr>
              <w:spacing w:after="0"/>
              <w:rPr>
                <w:sz w:val="1"/>
                <w:szCs w:val="1"/>
                <w:color w:val="auto"/>
              </w:rPr>
            </w:pPr>
          </w:p>
        </w:tc>
      </w:tr>
      <w:tr>
        <w:trPr>
          <w:trHeight w:val="145"/>
        </w:trPr>
        <w:tc>
          <w:tcPr>
            <w:tcW w:w="3740" w:type="dxa"/>
            <w:vAlign w:val="bottom"/>
          </w:tcPr>
          <w:p>
            <w:pPr>
              <w:spacing w:after="0"/>
              <w:rPr>
                <w:sz w:val="12"/>
                <w:szCs w:val="12"/>
                <w:color w:val="auto"/>
              </w:rPr>
            </w:pP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1,526,10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Class A Shares issued for OpenReel acquisition</w:t>
            </w: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93,056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1,526,115</w:t>
            </w:r>
          </w:p>
        </w:tc>
        <w:tc>
          <w:tcPr>
            <w:tcW w:w="0" w:type="dxa"/>
            <w:vAlign w:val="bottom"/>
          </w:tcPr>
          <w:p>
            <w:pPr>
              <w:spacing w:after="0"/>
              <w:rPr>
                <w:sz w:val="1"/>
                <w:szCs w:val="1"/>
                <w:color w:val="auto"/>
              </w:rPr>
            </w:pPr>
          </w:p>
        </w:tc>
      </w:tr>
      <w:tr>
        <w:trPr>
          <w:trHeight w:val="145"/>
        </w:trPr>
        <w:tc>
          <w:tcPr>
            <w:tcW w:w="3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19,300,8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4"/>
              <w:spacing w:after="0" w:line="145" w:lineRule="exact"/>
              <w:rPr>
                <w:sz w:val="20"/>
                <w:szCs w:val="20"/>
                <w:color w:val="auto"/>
              </w:rPr>
            </w:pPr>
            <w:r>
              <w:rPr>
                <w:rFonts w:ascii="Times New Roman" w:cs="Times New Roman" w:eastAsia="Times New Roman" w:hAnsi="Times New Roman"/>
                <w:sz w:val="15"/>
                <w:szCs w:val="15"/>
                <w:color w:val="auto"/>
              </w:rPr>
              <w:t>19,300,80</w:t>
            </w:r>
          </w:p>
        </w:tc>
        <w:tc>
          <w:tcPr>
            <w:tcW w:w="0" w:type="dxa"/>
            <w:vAlign w:val="bottom"/>
          </w:tcPr>
          <w:p>
            <w:pPr>
              <w:spacing w:after="0"/>
              <w:rPr>
                <w:sz w:val="1"/>
                <w:szCs w:val="1"/>
                <w:color w:val="auto"/>
              </w:rPr>
            </w:pPr>
          </w:p>
        </w:tc>
      </w:tr>
      <w:tr>
        <w:trPr>
          <w:trHeight w:val="17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Pre-Funded Warrants issued for OpenReel acquisition</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62"/>
        </w:trPr>
        <w:tc>
          <w:tcPr>
            <w:tcW w:w="37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Series FE Preferred Stock issued for OpenReel acquisition</w:t>
            </w:r>
          </w:p>
        </w:tc>
        <w:tc>
          <w:tcPr>
            <w:tcW w:w="72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4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RSUs to Board of Director members</w:t>
            </w:r>
          </w:p>
        </w:tc>
        <w:tc>
          <w:tcPr>
            <w:tcW w:w="72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7,939</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7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to Hudson for consulting fee</w:t>
            </w:r>
          </w:p>
        </w:tc>
        <w:tc>
          <w:tcPr>
            <w:tcW w:w="72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4,500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166,500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166,501</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Conversion of convertible notes - CP BF</w:t>
            </w:r>
          </w:p>
        </w:tc>
        <w:tc>
          <w:tcPr>
            <w:tcW w:w="72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5,560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216,283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216,284</w:t>
            </w:r>
          </w:p>
        </w:tc>
        <w:tc>
          <w:tcPr>
            <w:tcW w:w="0" w:type="dxa"/>
            <w:vAlign w:val="bottom"/>
          </w:tcPr>
          <w:p>
            <w:pPr>
              <w:spacing w:after="0"/>
              <w:rPr>
                <w:sz w:val="1"/>
                <w:szCs w:val="1"/>
                <w:color w:val="auto"/>
              </w:rPr>
            </w:pPr>
          </w:p>
        </w:tc>
      </w:tr>
      <w:tr>
        <w:trPr>
          <w:trHeight w:val="145"/>
        </w:trPr>
        <w:tc>
          <w:tcPr>
            <w:tcW w:w="37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Shares issued to Perkins Coie LLP for payment of</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outstanding debt</w:t>
            </w: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60,000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919,694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919,700</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Issuance of shares to Yorkville under the SEPA agreement</w:t>
            </w:r>
          </w:p>
        </w:tc>
        <w:tc>
          <w:tcPr>
            <w:tcW w:w="72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55,000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880,937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880,943</w:t>
            </w:r>
          </w:p>
        </w:tc>
        <w:tc>
          <w:tcPr>
            <w:tcW w:w="0" w:type="dxa"/>
            <w:vAlign w:val="bottom"/>
          </w:tcPr>
          <w:p>
            <w:pPr>
              <w:spacing w:after="0"/>
              <w:rPr>
                <w:sz w:val="1"/>
                <w:szCs w:val="1"/>
                <w:color w:val="auto"/>
              </w:rPr>
            </w:pPr>
          </w:p>
        </w:tc>
      </w:tr>
      <w:tr>
        <w:trPr>
          <w:trHeight w:val="145"/>
        </w:trPr>
        <w:tc>
          <w:tcPr>
            <w:tcW w:w="37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Shares issued for exercise of pre-funded warrants - HCW</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PIPE</w:t>
            </w: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117,647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1,176</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issued for exercise of pre-funded warrants - CP BF</w:t>
            </w:r>
          </w:p>
        </w:tc>
        <w:tc>
          <w:tcPr>
            <w:tcW w:w="720" w:type="dxa"/>
            <w:vAlign w:val="bottom"/>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30,470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45"/>
        </w:trPr>
        <w:tc>
          <w:tcPr>
            <w:tcW w:w="3740" w:type="dxa"/>
            <w:vAlign w:val="bottom"/>
          </w:tcPr>
          <w:p>
            <w:pPr>
              <w:spacing w:after="0"/>
              <w:rPr>
                <w:sz w:val="12"/>
                <w:szCs w:val="12"/>
                <w:color w:val="auto"/>
              </w:rPr>
            </w:pP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1,165,68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1,165,680</w:t>
            </w:r>
          </w:p>
        </w:tc>
        <w:tc>
          <w:tcPr>
            <w:tcW w:w="0" w:type="dxa"/>
            <w:vAlign w:val="bottom"/>
          </w:tcPr>
          <w:p>
            <w:pPr>
              <w:spacing w:after="0"/>
              <w:rPr>
                <w:sz w:val="1"/>
                <w:szCs w:val="1"/>
                <w:color w:val="auto"/>
              </w:rPr>
            </w:pPr>
          </w:p>
        </w:tc>
      </w:tr>
      <w:tr>
        <w:trPr>
          <w:trHeight w:val="145"/>
        </w:trPr>
        <w:tc>
          <w:tcPr>
            <w:tcW w:w="3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4"/>
              <w:spacing w:after="0" w:line="145" w:lineRule="exact"/>
              <w:rPr>
                <w:sz w:val="20"/>
                <w:szCs w:val="20"/>
                <w:color w:val="auto"/>
              </w:rPr>
            </w:pPr>
            <w:r>
              <w:rPr>
                <w:rFonts w:ascii="Times New Roman" w:cs="Times New Roman" w:eastAsia="Times New Roman" w:hAnsi="Times New Roman"/>
                <w:sz w:val="15"/>
                <w:szCs w:val="15"/>
                <w:color w:val="auto"/>
              </w:rPr>
              <w:t>(31,513,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4"/>
              <w:spacing w:after="0" w:line="145" w:lineRule="exact"/>
              <w:rPr>
                <w:sz w:val="20"/>
                <w:szCs w:val="20"/>
                <w:color w:val="auto"/>
              </w:rPr>
            </w:pPr>
            <w:r>
              <w:rPr>
                <w:rFonts w:ascii="Times New Roman" w:cs="Times New Roman" w:eastAsia="Times New Roman" w:hAnsi="Times New Roman"/>
                <w:sz w:val="15"/>
                <w:szCs w:val="15"/>
                <w:color w:val="auto"/>
              </w:rPr>
              <w:t>(31,513,3</w:t>
            </w:r>
          </w:p>
        </w:tc>
        <w:tc>
          <w:tcPr>
            <w:tcW w:w="0" w:type="dxa"/>
            <w:vAlign w:val="bottom"/>
          </w:tcPr>
          <w:p>
            <w:pPr>
              <w:spacing w:after="0"/>
              <w:rPr>
                <w:sz w:val="1"/>
                <w:szCs w:val="1"/>
                <w:color w:val="auto"/>
              </w:rPr>
            </w:pPr>
          </w:p>
        </w:tc>
      </w:tr>
      <w:tr>
        <w:trPr>
          <w:trHeight w:val="179"/>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w:t>
            </w:r>
          </w:p>
        </w:tc>
        <w:tc>
          <w:tcPr>
            <w:tcW w:w="72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134"/>
        </w:trPr>
        <w:tc>
          <w:tcPr>
            <w:tcW w:w="3740" w:type="dxa"/>
            <w:vAlign w:val="bottom"/>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Balance December 31, 2024</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44"/>
              <w:spacing w:after="0" w:line="134" w:lineRule="exact"/>
              <w:rPr>
                <w:sz w:val="20"/>
                <w:szCs w:val="20"/>
                <w:color w:val="auto"/>
              </w:rPr>
            </w:pPr>
            <w:r>
              <w:rPr>
                <w:rFonts w:ascii="Times New Roman" w:cs="Times New Roman" w:eastAsia="Times New Roman" w:hAnsi="Times New Roman"/>
                <w:sz w:val="15"/>
                <w:szCs w:val="15"/>
                <w:b w:val="1"/>
                <w:bCs w:val="1"/>
                <w:color w:val="auto"/>
              </w:rPr>
              <w:t>75,515,8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44"/>
              <w:spacing w:after="0" w:line="134" w:lineRule="exact"/>
              <w:rPr>
                <w:sz w:val="20"/>
                <w:szCs w:val="20"/>
                <w:color w:val="auto"/>
              </w:rPr>
            </w:pPr>
            <w:r>
              <w:rPr>
                <w:rFonts w:ascii="Times New Roman" w:cs="Times New Roman" w:eastAsia="Times New Roman" w:hAnsi="Times New Roman"/>
                <w:sz w:val="15"/>
                <w:szCs w:val="15"/>
                <w:b w:val="1"/>
                <w:bCs w:val="1"/>
                <w:color w:val="auto"/>
              </w:rPr>
              <w:t>(78,279,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64"/>
              <w:spacing w:after="0" w:line="134" w:lineRule="exact"/>
              <w:rPr>
                <w:sz w:val="20"/>
                <w:szCs w:val="20"/>
                <w:color w:val="auto"/>
              </w:rPr>
            </w:pPr>
            <w:r>
              <w:rPr>
                <w:rFonts w:ascii="Times New Roman" w:cs="Times New Roman" w:eastAsia="Times New Roman" w:hAnsi="Times New Roman"/>
                <w:sz w:val="15"/>
                <w:szCs w:val="15"/>
                <w:b w:val="1"/>
                <w:bCs w:val="1"/>
                <w:color w:val="auto"/>
              </w:rPr>
              <w:t>(2,763,80</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819,516</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-239395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-239395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-239395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-239395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-239395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-239395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-239395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-239395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55"/>
        </w:trPr>
        <w:tc>
          <w:tcPr>
            <w:tcW w:w="7360" w:type="dxa"/>
            <w:vAlign w:val="bottom"/>
          </w:tcPr>
          <w:p>
            <w:pPr>
              <w:spacing w:after="0"/>
              <w:rPr>
                <w:sz w:val="13"/>
                <w:szCs w:val="13"/>
                <w:color w:val="auto"/>
              </w:rPr>
            </w:pPr>
          </w:p>
        </w:tc>
        <w:tc>
          <w:tcPr>
            <w:tcW w:w="308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800" w:type="dxa"/>
            <w:vAlign w:val="bottom"/>
            <w:tcBorders>
              <w:bottom w:val="single" w:sz="8" w:color="auto"/>
            </w:tcBorders>
          </w:tcPr>
          <w:p>
            <w:pPr>
              <w:spacing w:after="0"/>
              <w:rPr>
                <w:sz w:val="13"/>
                <w:szCs w:val="13"/>
                <w:color w:val="auto"/>
              </w:rPr>
            </w:pPr>
          </w:p>
        </w:tc>
      </w:tr>
      <w:tr>
        <w:trPr>
          <w:trHeight w:val="128"/>
        </w:trPr>
        <w:tc>
          <w:tcPr>
            <w:tcW w:w="7360" w:type="dxa"/>
            <w:vAlign w:val="bottom"/>
          </w:tcPr>
          <w:p>
            <w:pPr>
              <w:spacing w:after="0"/>
              <w:rPr>
                <w:sz w:val="11"/>
                <w:szCs w:val="11"/>
                <w:color w:val="auto"/>
              </w:rPr>
            </w:pPr>
          </w:p>
        </w:tc>
        <w:tc>
          <w:tcPr>
            <w:tcW w:w="106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Pr>
          <w:p>
            <w:pPr>
              <w:spacing w:after="0"/>
              <w:rPr>
                <w:sz w:val="11"/>
                <w:szCs w:val="11"/>
                <w:color w:val="auto"/>
              </w:rPr>
            </w:pPr>
          </w:p>
        </w:tc>
        <w:tc>
          <w:tcPr>
            <w:tcW w:w="122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Pr>
          <w:p>
            <w:pPr>
              <w:spacing w:after="0"/>
              <w:rPr>
                <w:sz w:val="11"/>
                <w:szCs w:val="11"/>
                <w:color w:val="auto"/>
              </w:rPr>
            </w:pPr>
          </w:p>
        </w:tc>
      </w:tr>
      <w:tr>
        <w:trPr>
          <w:trHeight w:val="128"/>
        </w:trPr>
        <w:tc>
          <w:tcPr>
            <w:tcW w:w="7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106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r>
      <w:tr>
        <w:trPr>
          <w:trHeight w:val="135"/>
        </w:trPr>
        <w:tc>
          <w:tcPr>
            <w:tcW w:w="7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60" w:type="dxa"/>
            <w:vAlign w:val="bottom"/>
          </w:tcPr>
          <w:p>
            <w:pPr>
              <w:jc w:val="right"/>
              <w:ind w:right="94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(22,492,075)</w:t>
            </w:r>
          </w:p>
        </w:tc>
        <w:tc>
          <w:tcPr>
            <w:tcW w:w="1220" w:type="dxa"/>
            <w:vAlign w:val="bottom"/>
            <w:gridSpan w:val="2"/>
          </w:tcPr>
          <w:p>
            <w:pPr>
              <w:jc w:val="right"/>
              <w:ind w:right="9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(31,513,389)</w:t>
            </w:r>
          </w:p>
        </w:tc>
      </w:tr>
      <w:tr>
        <w:trPr>
          <w:trHeight w:val="135"/>
        </w:trPr>
        <w:tc>
          <w:tcPr>
            <w:tcW w:w="7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1,150,471</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24,179</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Provision for credit losses on accounts receivable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17,131</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18,462</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share issuance for marketing expenses</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245,252</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shares issued for consulting expenses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974,261</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settlement of GEM commitment fee</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200,000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Discount at issuance on notes carried at fair value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1,671,996</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747,962</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share issuance for Yorkville redemption premium</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80,760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interest expense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1,532,475</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interest expense - related party</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1,177,033</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debt discount and issuance costs - related party</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1,393,785</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operating lease right-of-use assets</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16,694</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137,717</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 based compensation expense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2,679,231</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1,165,680</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Gain on release of Vidello revenue holdback</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(973,000)</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Gain on extinguishment of liability</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(4,488,627)</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(680,762)</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Gain on release of due to related party</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(67,118)</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conversion and settlement of Alco promissory notes - related party</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4,808,882</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conversion and settlement of CP BF notes - related party</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6,529,402</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debt issuance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444,000</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653,208</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issuance of term notes</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110,500</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issuance of convertible bridge notes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152,826</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Private Placement Issuance</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4,873,509</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extinguishment of debt, net</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2,402,732</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1,071,563</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Impairment loss</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2,725,460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warrant liability</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(1,243,528)</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(626,000)</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warrant liability - related party</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(2,300)</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(572,700)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bifurcated embedded derivative asset - related party</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54,000</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(51,000)</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convertible notes, carried at fair value</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(1,987,203)</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693,000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convertible promissory notes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term notes</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173,055</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88,588</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convertible bridge notes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(46,253)</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(10,176)</w:t>
            </w:r>
          </w:p>
        </w:tc>
      </w:tr>
      <w:tr>
        <w:trPr>
          <w:trHeight w:val="135"/>
        </w:trPr>
        <w:tc>
          <w:tcPr>
            <w:tcW w:w="7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209,987</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15,828</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198,585</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551,645</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7,154</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27,227</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(381,632)</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1,012,281</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(740,066)</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(6,315)</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expenses</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110,421</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498,051</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Operating lease liabilities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(15,960)</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(237,607)</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Earnout liability</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587,784</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(44,549)</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revenue – long-term</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(23,917)</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10,573</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(256,310)</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10,115</w:t>
            </w:r>
          </w:p>
        </w:tc>
      </w:tr>
      <w:tr>
        <w:trPr>
          <w:trHeight w:val="135"/>
        </w:trPr>
        <w:tc>
          <w:tcPr>
            <w:tcW w:w="7360" w:type="dxa"/>
            <w:vAlign w:val="bottom"/>
            <w:tcBorders>
              <w:bottom w:val="single" w:sz="8" w:color="CFF0FC"/>
            </w:tcBorders>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0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(75,000)</w:t>
            </w:r>
          </w:p>
        </w:tc>
      </w:tr>
      <w:tr>
        <w:trPr>
          <w:trHeight w:val="128"/>
        </w:trPr>
        <w:tc>
          <w:tcPr>
            <w:tcW w:w="736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(15,706,619)</w:t>
            </w:r>
          </w:p>
        </w:tc>
        <w:tc>
          <w:tcPr>
            <w:tcW w:w="1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(9,575,403)</w:t>
            </w:r>
          </w:p>
        </w:tc>
      </w:tr>
      <w:tr>
        <w:trPr>
          <w:trHeight w:val="128"/>
        </w:trPr>
        <w:tc>
          <w:tcPr>
            <w:tcW w:w="7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paid for acquisition of Vidello, net of cash acquired</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(2,677,480)</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paid for asset acquisition of Superblocks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acquired in acquisition of OpenReel</w:t>
            </w:r>
          </w:p>
        </w:tc>
        <w:tc>
          <w:tcPr>
            <w:tcW w:w="1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82,219</w:t>
            </w:r>
          </w:p>
        </w:tc>
      </w:tr>
      <w:tr>
        <w:trPr>
          <w:trHeight w:val="129"/>
        </w:trPr>
        <w:tc>
          <w:tcPr>
            <w:tcW w:w="7360" w:type="dxa"/>
            <w:vAlign w:val="bottom"/>
            <w:tcBorders>
              <w:bottom w:val="single" w:sz="8" w:color="CFF0FC"/>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0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(2,678,980)</w:t>
            </w:r>
          </w:p>
        </w:tc>
        <w:tc>
          <w:tcPr>
            <w:tcW w:w="16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82,219</w:t>
            </w:r>
          </w:p>
        </w:tc>
      </w:tr>
      <w:tr>
        <w:trPr>
          <w:trHeight w:val="128"/>
        </w:trPr>
        <w:tc>
          <w:tcPr>
            <w:tcW w:w="73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Payment of GEM commitment fee promissory note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(215,057)</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(1,200,000)</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Payment of Vidello transition holdback</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convertible notes (Yorkville)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(4,514,664)</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(750,000)</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related party advance</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100,000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related party advance</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(100,000)</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term notes, net of issuance costs</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5,412,050</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2,782,438</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term notes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(8,694,757)</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(1,939,583)</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Repayments of private placement notes</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(1,291,516)</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Partial repayment of convertible notes - related party</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(4,728,672)</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(283,315)</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Yorkville redemption premium</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35,040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convertible notes, net of issuance costs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9,975,654</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2,602,000</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received for exercise of Pre-Funded warrants</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2,072</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shares to Yorkville under the SEPA</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18,603,220</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880,943</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shares issued to Verista</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49,800</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Payment of deferred offering costs – ATM</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(238,330)</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common stock and pre-funded warrants under private placement</w:t>
            </w: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329,996</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Borders>
              <w:bottom w:val="single" w:sz="8" w:color="CFF0FC"/>
            </w:tcBorders>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common stock and warrants</w:t>
            </w:r>
          </w:p>
        </w:tc>
        <w:tc>
          <w:tcPr>
            <w:tcW w:w="10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3,545,799</w:t>
            </w:r>
          </w:p>
        </w:tc>
        <w:tc>
          <w:tcPr>
            <w:tcW w:w="16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6,257,368</w:t>
            </w:r>
          </w:p>
        </w:tc>
      </w:tr>
      <w:tr>
        <w:trPr>
          <w:trHeight w:val="128"/>
        </w:trPr>
        <w:tc>
          <w:tcPr>
            <w:tcW w:w="73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17,633,523</w:t>
            </w:r>
          </w:p>
        </w:tc>
        <w:tc>
          <w:tcPr>
            <w:tcW w:w="1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8,486,963</w:t>
            </w:r>
          </w:p>
        </w:tc>
      </w:tr>
      <w:tr>
        <w:trPr>
          <w:trHeight w:val="128"/>
        </w:trPr>
        <w:tc>
          <w:tcPr>
            <w:tcW w:w="7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(76,216)</w:t>
            </w: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decrease in cash</w:t>
            </w: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(828,292)</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(1,006,221)</w:t>
            </w:r>
          </w:p>
        </w:tc>
      </w:tr>
      <w:tr>
        <w:trPr>
          <w:trHeight w:val="135"/>
        </w:trPr>
        <w:tc>
          <w:tcPr>
            <w:tcW w:w="73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at beginning of period</w:t>
            </w:r>
          </w:p>
        </w:tc>
        <w:tc>
          <w:tcPr>
            <w:tcW w:w="10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1,087,497</w:t>
            </w:r>
          </w:p>
        </w:tc>
        <w:tc>
          <w:tcPr>
            <w:tcW w:w="16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2,093,718</w:t>
            </w:r>
          </w:p>
        </w:tc>
      </w:tr>
      <w:tr>
        <w:trPr>
          <w:trHeight w:val="129"/>
        </w:trPr>
        <w:tc>
          <w:tcPr>
            <w:tcW w:w="73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Cash at end of period</w:t>
            </w:r>
          </w:p>
        </w:tc>
        <w:tc>
          <w:tcPr>
            <w:tcW w:w="106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259,205</w:t>
            </w:r>
          </w:p>
        </w:tc>
        <w:tc>
          <w:tcPr>
            <w:tcW w:w="160" w:type="dxa"/>
            <w:vAlign w:val="bottom"/>
          </w:tcPr>
          <w:p>
            <w:pPr>
              <w:spacing w:after="0"/>
              <w:rPr>
                <w:sz w:val="11"/>
                <w:szCs w:val="11"/>
                <w:color w:val="auto"/>
              </w:rPr>
            </w:pPr>
          </w:p>
        </w:tc>
        <w:tc>
          <w:tcPr>
            <w:tcW w:w="106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1,087,497</w:t>
            </w:r>
          </w:p>
        </w:tc>
      </w:tr>
      <w:tr>
        <w:trPr>
          <w:trHeight w:val="20"/>
        </w:trPr>
        <w:tc>
          <w:tcPr>
            <w:tcW w:w="7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-2571115</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-2030730</wp:posOffset>
            </wp:positionV>
            <wp:extent cx="93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-479425</wp:posOffset>
            </wp:positionV>
            <wp:extent cx="93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-119380</wp:posOffset>
            </wp:positionV>
            <wp:extent cx="93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6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35"/>
        </w:trPr>
        <w:tc>
          <w:tcPr>
            <w:tcW w:w="6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1,095,395</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338,393</w:t>
            </w:r>
          </w:p>
        </w:tc>
      </w:tr>
      <w:tr>
        <w:trPr>
          <w:trHeight w:val="135"/>
        </w:trPr>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paid for taxes</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10,621</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5,113</w:t>
            </w:r>
          </w:p>
        </w:tc>
      </w:tr>
      <w:tr>
        <w:trPr>
          <w:trHeight w:val="135"/>
        </w:trPr>
        <w:tc>
          <w:tcPr>
            <w:tcW w:w="6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Non-cash investing and financing activities</w:t>
            </w:r>
          </w:p>
        </w:tc>
        <w:tc>
          <w:tcPr>
            <w:tcW w:w="364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to Roth for advisory fee</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578,833</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to GEM</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784,943</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for marketing expenses</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334,772</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to MZHCI for investor relations services</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94,800</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to J.V.B for payment of outstanding debt</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115,000</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for exercise of Pre-Funded warrants</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2,072</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Deemed dividend - Series A and Series B warrant modification</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418,360</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to CP BF for debt restructuring</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1,287,003</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Warrants and pre-funded warrants issued to CP BF for debt restructuring</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2,763,161</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Premium issued as part of CP BF debt modification</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4,079,225</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to Alco for debt restructuring</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1,098,614</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Warrants and pre-funded warrants issued to Alco for debt restructuring</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7,768,006</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for Hudson consulting fee</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974,261</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166,501</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for payment to Verista</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49,800</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to Perkins Coie LLP for payment of outstanding debt</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919,700</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Settlement of GEM commitment fee</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200,000</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to Yorkville for commitment fee</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115,800</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Derecognition of Cantor fee</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4,000,000</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Consideration transferred for acquisition of Vidello</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1,661,677</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Assets acquired in acquisition of Vidello</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8,393,172</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Liabilities assumed in acquisition of Vidello</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3,986,464</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Consideration transferred for acquisition of OpenReel</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20,826,920</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Assets acquired in acquisition of OpenReel</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24,484,460</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Liabilities assumed in acquisition of OpenReel</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3,657,540</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Right-of-use assets obtained in exchange for lease obligations</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76,269</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Conversion of private placement convertible notes, carried at fair value</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4,343,116</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for payment of outstanding debt</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396,110</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for 1800 Diagonal Note conversions of debt</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444,317</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to Yorkville of aggregate commitment fee</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500,000</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convertible promissory note – GEM</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1,000,000</w:t>
            </w:r>
          </w:p>
        </w:tc>
      </w:tr>
      <w:tr>
        <w:trPr>
          <w:trHeight w:val="135"/>
        </w:trPr>
        <w:tc>
          <w:tcPr>
            <w:tcW w:w="6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Bifurcated embedded derivative liabilities at issuance – related party</w:t>
            </w:r>
          </w:p>
        </w:tc>
        <w:tc>
          <w:tcPr>
            <w:tcW w:w="3640" w:type="dxa"/>
            <w:vAlign w:val="bottom"/>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12,000</w:t>
            </w:r>
          </w:p>
        </w:tc>
      </w:tr>
      <w:tr>
        <w:trPr>
          <w:trHeight w:val="135"/>
        </w:trPr>
        <w:tc>
          <w:tcPr>
            <w:tcW w:w="6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Conversion of convertible notes - Yorkville</w:t>
            </w:r>
          </w:p>
        </w:tc>
        <w:tc>
          <w:tcPr>
            <w:tcW w:w="3640" w:type="dxa"/>
            <w:vAlign w:val="bottom"/>
            <w:shd w:val="clear" w:color="auto" w:fill="CFF0FC"/>
          </w:tcPr>
          <w:p>
            <w:pPr>
              <w:jc w:val="right"/>
              <w:ind w:right="5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4,130,000</w:t>
            </w:r>
          </w:p>
        </w:tc>
      </w:tr>
      <w:tr>
        <w:trPr>
          <w:trHeight w:val="164"/>
        </w:trPr>
        <w:tc>
          <w:tcPr>
            <w:tcW w:w="6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Conversion of convertible notes - related party</w:t>
            </w:r>
          </w:p>
        </w:tc>
        <w:tc>
          <w:tcPr>
            <w:tcW w:w="364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2,540,091</w:t>
            </w: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was incorporated in Delaware on September 30, 2015. Banzai is a leading enterprise SaaS Video Engagement platform used by marketers to power webinars, trainings, virtual events, and on-demand video content.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29, 2024, the stockholders of the Company collectively approved an amendment to the Company’s Certificate of Incorporation, as amended and restated, to effect a reverse stock split (the “2024 Reverse Stock Split”) of the Company’s outstanding Class A Common Stock at a ratio of 1-for-50 effective as of September 19, 2024. The Class B Common Stock was not affected by the 2024 Reverse Stock Split.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1-for-10 effective on July 8, 2025.</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 cash or fractional shares were issued in connection with the 2024 Reverse Stock Split and 2025 Reverse Stock Split, and instead the Company rounded up to the next whole share in lieu of issuing fractional shares that would have been issued in the reverse split. </w:t>
      </w:r>
      <w:r>
        <w:rPr>
          <w:rFonts w:ascii="Times New Roman" w:cs="Times New Roman" w:eastAsia="Times New Roman" w:hAnsi="Times New Roman"/>
          <w:sz w:val="18"/>
          <w:szCs w:val="18"/>
          <w:color w:val="212529"/>
        </w:rPr>
        <w:t>Proportional adjustments were made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Common Stock share and per share information included in this Annual Report on Form 10-K has been retroactively adjusted to reflect the impact of the 2024 Reverse Stock Split and 2025 Reverse Stock Split.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Smaller Reporting Company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of approximately $0.3 million. For the year ended December 31, 2025, the Company used approximately $15.7 million in cash for operating activities. The Company has incurred recurring net losses from operations and negative cash flows from operating activities since inception. As of December 31, 2025, the Company had an accumulated deficit of approximately $100.8 million. These factors raise substantial doubt regarding the Company’s ability to continue as a going concern within one year of the date these financial statements were issued.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financings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and equity financings associated with the Yorkville SEPA and the ATM (as defined in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accompanying consolidated financial statements have been prepared assuming that the Company will continue as a going concern and do not include any adjustments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Uncertainties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to be cash equivalents. As of December 31, 2025 and 2024, respectively, the Company does not have any cash equivalents.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both"/>
        <w:spacing w:after="0" w:line="282" w:lineRule="auto"/>
        <w:rPr>
          <w:sz w:val="20"/>
          <w:szCs w:val="20"/>
          <w:color w:val="auto"/>
        </w:rPr>
      </w:pPr>
      <w:r>
        <w:rPr>
          <w:rFonts w:ascii="Times New Roman" w:cs="Times New Roman" w:eastAsia="Times New Roman" w:hAnsi="Times New Roman"/>
          <w:sz w:val="18"/>
          <w:szCs w:val="18"/>
          <w:color w:val="auto"/>
        </w:rPr>
        <w:t>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consist of balances due from customers as well as from payment service providers. Payment terms range from due upon receipt, to net 30 days. Accounts receivable are stated net of an allowance for credit losses.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sectPr>
          <w:pgSz w:w="11900" w:h="16838" w:orient="portrait"/>
          <w:cols w:equalWidth="0" w:num="1">
            <w:col w:w="11240"/>
          </w:cols>
          <w:pgMar w:left="320" w:top="1161" w:right="339" w:bottom="1440" w:gutter="0" w:footer="0" w:header="0"/>
        </w:sectPr>
      </w:pP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provision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24,210</w:t>
            </w:r>
          </w:p>
        </w:tc>
      </w:tr>
      <w:tr>
        <w:trPr>
          <w:trHeight w:val="234"/>
        </w:trPr>
        <w:tc>
          <w:tcPr>
            <w:tcW w:w="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17,131</w:t>
            </w:r>
          </w:p>
        </w:tc>
      </w:tr>
      <w:tr>
        <w:trPr>
          <w:trHeight w:val="209"/>
        </w:trPr>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41,341</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60" w:lineRule="exact"/>
        <w:rPr>
          <w:sz w:val="20"/>
          <w:szCs w:val="20"/>
          <w:color w:val="auto"/>
        </w:rPr>
      </w:pPr>
    </w:p>
    <w:p>
      <w:pPr>
        <w:sectPr>
          <w:pgSz w:w="11900" w:h="16838" w:orient="portrait"/>
          <w:cols w:equalWidth="0" w:num="2">
            <w:col w:w="8460" w:space="720"/>
            <w:col w:w="2060"/>
          </w:cols>
          <w:pgMar w:left="320" w:top="1161" w:right="339" w:bottom="1440" w:gutter="0" w:footer="0" w:header="0"/>
          <w:type w:val="continuous"/>
        </w:sectPr>
      </w:pP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(3 years for computer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Goodwill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identify our reporting units in accordance with the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At December 31, 2025, the Company has three operating segments which were deemed to be its reporting units, and goodwill is allocated to each reporting unit.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Intangible assets, net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12529"/>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212529"/>
        </w:rPr>
        <w:t>economic benefits of the assets will be consumed. Intangible assets are presented net of accumulated amortization in the consolidated balance sheets.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 Company periodically evaluates its long-lived assets for potential impairment in accordance with FASB ASC 360, </w:t>
      </w:r>
      <w:r>
        <w:rPr>
          <w:rFonts w:ascii="Times New Roman" w:cs="Times New Roman" w:eastAsia="Times New Roman" w:hAnsi="Times New Roman"/>
          <w:sz w:val="18"/>
          <w:szCs w:val="18"/>
          <w:i w:val="1"/>
          <w:iCs w:val="1"/>
          <w:color w:val="212529"/>
        </w:rPr>
        <w:t>Property, Plant and Equipment</w:t>
      </w:r>
      <w:r>
        <w:rPr>
          <w:rFonts w:ascii="Times New Roman" w:cs="Times New Roman" w:eastAsia="Times New Roman" w:hAnsi="Times New Roman"/>
          <w:sz w:val="18"/>
          <w:szCs w:val="18"/>
          <w:color w:val="212529"/>
        </w:rPr>
        <w:t xml:space="preserve">.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on intangible assets through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12529"/>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 – related party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warrants originally issued in 7GC's initial public offering (the "Public Warrants") are recognized as derivative liabilities in accordance with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Warrant Liability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and Credit Risk</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accounts receivable. The Company has no financial instruments with off-balance sheet risk of loss.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one customer accounted for 10% or more of accounts receivable with a concentration of 13% of the total accounts receivable balance. At December 31, 2024, one customer accounted for 10% or more of accounts receivable with a concentration of 14% of the total accounts receivable balance. For the years ended December 31, 2025 and 2024, no customers accounted for 10% or more of total revenues.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no suppliers and two suppliers accounted for 10% or more of accounts payable,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6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shareholders—basic and diluted</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(22,492,075)</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(31,095,029)</w:t>
            </w:r>
          </w:p>
        </w:tc>
      </w:tr>
      <w:tr>
        <w:trPr>
          <w:trHeight w:val="198"/>
        </w:trPr>
        <w:tc>
          <w:tcPr>
            <w:tcW w:w="6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shares—basic and diluted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3,782,998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445,817</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(69.75)</w:t>
            </w: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that could potentially be dilutive in future periods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54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7700" w:type="dxa"/>
            <w:vAlign w:val="bottom"/>
          </w:tcPr>
          <w:p>
            <w:pPr>
              <w:spacing w:after="0"/>
              <w:rPr>
                <w:sz w:val="18"/>
                <w:szCs w:val="18"/>
                <w:color w:val="auto"/>
              </w:rPr>
            </w:pPr>
          </w:p>
        </w:tc>
        <w:tc>
          <w:tcPr>
            <w:tcW w:w="17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12,553</w:t>
            </w:r>
          </w:p>
        </w:tc>
        <w:tc>
          <w:tcPr>
            <w:tcW w:w="18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2,566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413,902</w:t>
            </w: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34,078</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warrant shares</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23,000</w:t>
            </w:r>
          </w:p>
        </w:tc>
        <w:tc>
          <w:tcPr>
            <w:tcW w:w="18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GEM warrant shares</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w:t>
            </w: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1,657</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 shares</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736,000</w:t>
            </w:r>
          </w:p>
        </w:tc>
        <w:tc>
          <w:tcPr>
            <w:tcW w:w="18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452,761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warrant shares</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71,827</w:t>
            </w: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10,490</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1,258,940</w:t>
            </w: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524,552</w:t>
            </w:r>
          </w:p>
        </w:tc>
      </w:tr>
      <w:tr>
        <w:trPr>
          <w:trHeight w:val="20"/>
        </w:trPr>
        <w:tc>
          <w:tcPr>
            <w:tcW w:w="77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revenue consist primarily of infrastructure, streaming service, data license and contracted services costs, as well as merchant fees and payroll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were $659,877 and $467,897 for the years ended December 31, 2025 and 2024, respectively, which are included in general and administrative expenses on the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expenses stock-based compensation to employees and non-employees over the requisite service period based on the estimated grant-date fair value of the awards in accordance with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 w:cs="Times New Roman" w:eastAsia="Times New Roman" w:hAnsi="Times New Roman"/>
          <w:sz w:val="18"/>
          <w:szCs w:val="18"/>
          <w:i w:val="1"/>
          <w:iCs w:val="1"/>
          <w:color w:val="auto"/>
        </w:rPr>
        <w:t>Note 7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12 – Debt </w:t>
      </w:r>
      <w:r>
        <w:rPr>
          <w:rFonts w:ascii="Times New Roman" w:cs="Times New Roman" w:eastAsia="Times New Roman" w:hAnsi="Times New Roman"/>
          <w:sz w:val="18"/>
          <w:szCs w:val="18"/>
          <w:color w:val="auto"/>
        </w:rPr>
        <w:t>for further detail.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185"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Election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determined the January 2025 Yorkville Note, the September 2025 Yorkville Note, the Agile Notes, the 1800 Diagonal Notes, the </w:t>
      </w:r>
      <w:r>
        <w:rPr>
          <w:rFonts w:ascii="Times New Roman" w:cs="Times New Roman" w:eastAsia="Times New Roman" w:hAnsi="Times New Roman"/>
          <w:sz w:val="18"/>
          <w:szCs w:val="18"/>
          <w:color w:val="212529"/>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Placement Convertible Notes, and the Boot Capital Convertible Notes </w:t>
      </w:r>
      <w:r>
        <w:rPr>
          <w:rFonts w:ascii="Times New Roman" w:cs="Times New Roman" w:eastAsia="Times New Roman" w:hAnsi="Times New Roman"/>
          <w:sz w:val="18"/>
          <w:szCs w:val="18"/>
          <w:color w:val="000000"/>
        </w:rPr>
        <w:t>(each as defined 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Note 12 – Debt</w:t>
      </w:r>
      <w:r>
        <w:rPr>
          <w:rFonts w:ascii="Times New Roman" w:cs="Times New Roman" w:eastAsia="Times New Roman" w:hAnsi="Times New Roman"/>
          <w:sz w:val="18"/>
          <w:szCs w:val="18"/>
          <w:color w:val="000000"/>
        </w:rPr>
        <w:t>, and together the "FVO Notes") were eligible for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fair value option, in accordance with FASB ASC 825-10-50-28, and made such election to account for these instruments at fair value.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w:t>
      </w:r>
      <w:r>
        <w:rPr>
          <w:rFonts w:ascii="Times New Roman" w:cs="Times New Roman" w:eastAsia="Times New Roman" w:hAnsi="Times New Roman"/>
          <w:sz w:val="18"/>
          <w:szCs w:val="18"/>
          <w:color w:val="212529"/>
        </w:rPr>
        <w:t>Notes</w:t>
      </w:r>
      <w:r>
        <w:rPr>
          <w:rFonts w:ascii="Times New Roman" w:cs="Times New Roman" w:eastAsia="Times New Roman" w:hAnsi="Times New Roman"/>
          <w:sz w:val="18"/>
          <w:szCs w:val="18"/>
          <w:color w:val="auto"/>
        </w:rPr>
        <w:t xml:space="preserve"> with the Company's financial reporting objectives and reduce operational effort to account for embedded features that otherwise would require bifurcation as a separate unit of account.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fair value option election, direct and incremental debt issuance costs and consideration paid to the respective lender were expensed as incurred and recorded in other income (expense), net in the consolidated statements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recognized upon issuance of debt represent the difference between issuance date fair value and the proceeds received net of discount or premium, which are recorded in loss on debt issuance in the consolidated statements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the portion of the FVO </w:t>
      </w:r>
      <w:r>
        <w:rPr>
          <w:rFonts w:ascii="Times New Roman" w:cs="Times New Roman" w:eastAsia="Times New Roman" w:hAnsi="Times New Roman"/>
          <w:sz w:val="18"/>
          <w:szCs w:val="18"/>
          <w:color w:val="212529"/>
        </w:rPr>
        <w:t>Notes</w:t>
      </w:r>
      <w:r>
        <w:rPr>
          <w:rFonts w:ascii="Times New Roman" w:cs="Times New Roman" w:eastAsia="Times New Roman" w:hAnsi="Times New Roman"/>
          <w:sz w:val="18"/>
          <w:szCs w:val="18"/>
          <w:color w:val="auto"/>
        </w:rPr>
        <w:t xml:space="preserve">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w:t>
      </w:r>
      <w:r>
        <w:rPr>
          <w:rFonts w:ascii="Times New Roman" w:cs="Times New Roman" w:eastAsia="Times New Roman" w:hAnsi="Times New Roman"/>
          <w:sz w:val="18"/>
          <w:szCs w:val="18"/>
          <w:color w:val="212529"/>
        </w:rPr>
        <w:t>Notes</w:t>
      </w:r>
      <w:r>
        <w:rPr>
          <w:rFonts w:ascii="Times New Roman" w:cs="Times New Roman" w:eastAsia="Times New Roman" w:hAnsi="Times New Roman"/>
          <w:sz w:val="18"/>
          <w:szCs w:val="18"/>
          <w:color w:val="auto"/>
        </w:rPr>
        <w:t xml:space="preserve">, which is recorded in other comprehensive income (loss), if applicable. Measurement of the change in fair value of the FVO </w:t>
      </w:r>
      <w:r>
        <w:rPr>
          <w:rFonts w:ascii="Times New Roman" w:cs="Times New Roman" w:eastAsia="Times New Roman" w:hAnsi="Times New Roman"/>
          <w:sz w:val="18"/>
          <w:szCs w:val="18"/>
          <w:color w:val="212529"/>
        </w:rPr>
        <w:t>Notes</w:t>
      </w:r>
      <w:r>
        <w:rPr>
          <w:rFonts w:ascii="Times New Roman" w:cs="Times New Roman" w:eastAsia="Times New Roman" w:hAnsi="Times New Roman"/>
          <w:sz w:val="18"/>
          <w:szCs w:val="18"/>
          <w:color w:val="auto"/>
        </w:rPr>
        <w:t xml:space="preserve"> includes accrued interest, whether paid-in-kind or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on the FVO Notes is included in the respective debt instrument's balance on the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spacing w:after="0" w:line="13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ROU assets and lease liabilities are recognized at commencement date and determined using the present value of the future minimum lease payments over the lease term. The Company uses an incremental borrowing rate based on estimated rate of interest for</w:t>
      </w: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6" w:name="page97"/>
    <w:bookmarkEnd w:id="96"/>
    <w:p>
      <w:pPr>
        <w:jc w:val="both"/>
        <w:spacing w:after="0" w:line="261" w:lineRule="auto"/>
        <w:rPr>
          <w:sz w:val="20"/>
          <w:szCs w:val="20"/>
          <w:color w:val="auto"/>
        </w:rPr>
      </w:pPr>
      <w:r>
        <w:rPr>
          <w:rFonts w:ascii="Times New Roman" w:cs="Times New Roman" w:eastAsia="Times New Roman" w:hAnsi="Times New Roman"/>
          <w:sz w:val="18"/>
          <w:szCs w:val="18"/>
          <w:color w:val="auto"/>
        </w:rPr>
        <w:t>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ASU No. 2024-03, </w:t>
      </w:r>
      <w:r>
        <w:rPr>
          <w:rFonts w:ascii="Times New Roman" w:cs="Times New Roman" w:eastAsia="Times New Roman" w:hAnsi="Times New Roman"/>
          <w:sz w:val="18"/>
          <w:szCs w:val="18"/>
          <w:i w:val="1"/>
          <w:iCs w:val="1"/>
          <w:color w:val="auto"/>
        </w:rPr>
        <w:t>Disaggregation of Income Statement Expenses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The ASU requires the disaggregated disclosure of specific expense categories, including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which provides a practical expedient to measure credit losses on accounts receivable and contract assets. This guidance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beginning after December 15, 2025 and will be adopted prospectively. Early adoption is permitted. The Company is currently evaluating the impact of this guidance on our consolidated financial statements and related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89,820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7" w:name="page98"/>
    <w:bookmarkEnd w:id="97"/>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recognized $485,720 of expense after foreign currency translation in the consolidated statements of operations related to the Transition Holdback Amount in the line Vidello earnout expense. As of December 31, 2025, the Company had paid the contractual amount of $500,000 to the Vidello Shareholders for the Transition Holdback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180 day measurement period for the Revenue Holdback had lapsed and the revenue conditions as defined in the Vidello Merger Agreement had not been met. As such the Company recognized a gain on the extinguishment of Vidello revenue holdback of $973,000 for the year ended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transaction costs of approximately $730,000 which are included in the consolidated statements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Vidello Merger was accounted for as a business combination under the acquisition method pursuant to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5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2,745,031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Vidello Stockholders</w:t>
            </w:r>
          </w:p>
        </w:tc>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1,661,677</w:t>
            </w: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Holdback Amount</w:t>
            </w:r>
          </w:p>
        </w:tc>
        <w:tc>
          <w:tcPr>
            <w:tcW w:w="48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1,861,039</w:t>
            </w: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5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6,267,747</w:t>
            </w:r>
          </w:p>
        </w:tc>
      </w:tr>
      <w:tr>
        <w:trPr>
          <w:trHeight w:val="20"/>
        </w:trPr>
        <w:tc>
          <w:tcPr>
            <w:tcW w:w="44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5200" w:type="dxa"/>
            <w:vAlign w:val="bottom"/>
            <w:gridSpan w:val="2"/>
          </w:tcPr>
          <w:p>
            <w:pPr>
              <w:jc w:val="right"/>
              <w:ind w:right="3800"/>
              <w:spacing w:after="0"/>
              <w:rPr>
                <w:sz w:val="20"/>
                <w:szCs w:val="20"/>
                <w:color w:val="auto"/>
              </w:rPr>
            </w:pPr>
            <w:r>
              <w:rPr>
                <w:rFonts w:ascii="Times New Roman" w:cs="Times New Roman" w:eastAsia="Times New Roman" w:hAnsi="Times New Roman"/>
                <w:sz w:val="18"/>
                <w:szCs w:val="18"/>
                <w:color w:val="auto"/>
              </w:rPr>
              <w:t>F-19</w:t>
            </w:r>
          </w:p>
        </w:tc>
        <w:tc>
          <w:tcPr>
            <w:tcW w:w="1640" w:type="dxa"/>
            <w:vAlign w:val="bottom"/>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8" w:name="page99"/>
    <w:bookmarkEnd w:id="9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0" w:type="dxa"/>
            <w:vAlign w:val="bottom"/>
            <w:gridSpan w:val="2"/>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67,551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9,375</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2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551,000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trade name</w:t>
            </w:r>
          </w:p>
        </w:tc>
        <w:tc>
          <w:tcPr>
            <w:tcW w:w="2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736,000</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298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4,010,000</w:t>
            </w: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80" w:type="dxa"/>
            <w:vAlign w:val="bottom"/>
          </w:tcPr>
          <w:p>
            <w:pPr>
              <w:spacing w:after="0"/>
              <w:rPr>
                <w:sz w:val="18"/>
                <w:szCs w:val="18"/>
                <w:color w:val="auto"/>
              </w:rPr>
            </w:pP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5,373,926</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15,377</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 current</w:t>
            </w:r>
          </w:p>
        </w:tc>
        <w:tc>
          <w:tcPr>
            <w:tcW w:w="2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447,966</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1,324,250</w:t>
            </w:r>
          </w:p>
        </w:tc>
      </w:tr>
      <w:tr>
        <w:trPr>
          <w:trHeight w:val="216"/>
        </w:trPr>
        <w:tc>
          <w:tcPr>
            <w:tcW w:w="6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98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337,127</w:t>
            </w:r>
          </w:p>
        </w:tc>
      </w:tr>
      <w:tr>
        <w:trPr>
          <w:trHeight w:val="209"/>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9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2,125,425</w:t>
            </w: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3,248,501</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 recorded:</w:t>
            </w:r>
          </w:p>
        </w:tc>
        <w:tc>
          <w:tcPr>
            <w:tcW w:w="2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3,019,246</w:t>
            </w:r>
          </w:p>
        </w:tc>
      </w:tr>
      <w:tr>
        <w:trPr>
          <w:trHeight w:val="22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600" w:type="dxa"/>
            <w:vAlign w:val="bottom"/>
            <w:gridSpan w:val="2"/>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6,267,747</w:t>
            </w: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29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All intangible assets acquired are subject to amortization and their associated estimated useful lives are as follows:</w:t>
            </w:r>
          </w:p>
        </w:tc>
        <w:tc>
          <w:tcPr>
            <w:tcW w:w="2220" w:type="dxa"/>
            <w:vAlign w:val="bottom"/>
          </w:tcPr>
          <w:p>
            <w:pPr>
              <w:spacing w:after="0"/>
              <w:rPr>
                <w:sz w:val="20"/>
                <w:szCs w:val="20"/>
                <w:color w:val="auto"/>
              </w:rPr>
            </w:pPr>
          </w:p>
        </w:tc>
      </w:tr>
      <w:tr>
        <w:trPr>
          <w:trHeight w:val="410"/>
        </w:trPr>
        <w:tc>
          <w:tcPr>
            <w:tcW w:w="90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7 - 8 years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 the consolidated statements of operations for the year ended December 31, 2025 and 2024 includes net loss of approximately $250 thousand and net income of $734 thousand, respectively, of Vidello from the date of acquisition to December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disclosure for the Vidello acquisition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9" w:name="page100"/>
    <w:bookmarkEnd w:id="99"/>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not necessarily indicative of the results of operations as they would have been had the transactions been effected on the assumed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10"/>
        </w:trPr>
        <w:tc>
          <w:tcPr>
            <w:tcW w:w="5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12,391,854</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10,006,674</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2,379,038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2,114,675</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28,511,163</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19,795,088</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3,966,478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18,045,645</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 attributable to common stockholders</w:t>
            </w: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(22,464,825)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(29,948,734)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7GC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the Sponsor paid certain expenses on behalf of 7GC. Upon Closing of the Merger, Banzai assumed the $67,118 liability. As of December 31, 2025, there is no remaining balance outstanding related to this liability.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Banzai Related Party Transactions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During 2023, Legacy Banzai issued Promissory Notes and Convertible Notes to related parties.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further details related to these transactions and associated balances.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 Agreement with CP BF</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for further details related to the transaction and associated balances.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Company CEO</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12, 2024, the CEO of the Company loaned the Company an advance of $100,000. The advance is non-interest bearing, and matures one year from issuance. During the year ended December 31, 2025, the outstanding balance was repaid.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contract inception, once the contract is determined to be within the scope of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spacing w:after="0" w:line="216" w:lineRule="exact"/>
        <w:rPr>
          <w:sz w:val="20"/>
          <w:szCs w:val="20"/>
          <w:color w:val="auto"/>
        </w:rPr>
      </w:pPr>
    </w:p>
    <w:p>
      <w:pPr>
        <w:ind w:left="800" w:hanging="414"/>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contract(s) with a customer;</w:t>
      </w:r>
    </w:p>
    <w:p>
      <w:pPr>
        <w:spacing w:after="0" w:line="27" w:lineRule="exact"/>
        <w:rPr>
          <w:rFonts w:ascii="Times New Roman" w:cs="Times New Roman" w:eastAsia="Times New Roman" w:hAnsi="Times New Roman"/>
          <w:sz w:val="18"/>
          <w:szCs w:val="18"/>
          <w:color w:val="auto"/>
        </w:rPr>
      </w:pPr>
    </w:p>
    <w:p>
      <w:pPr>
        <w:ind w:left="800" w:hanging="414"/>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800" w:hanging="414"/>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800" w:hanging="414"/>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800" w:hanging="414"/>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revenues when (or as) the Company satisfies a performance obligation.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0" w:name="page101"/>
    <w:bookmarkEnd w:id="100"/>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to which it expects to be entitled in exchange for the transfer of promised services to its customers.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Trade Revenue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customer for which the customer is also a vendor. For this one customer, the Company exchanged services for approximately $125,000 and $239,000, during the years ended December 31,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09"/>
        </w:trPr>
        <w:tc>
          <w:tcPr>
            <w:tcW w:w="5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7"/>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10"/>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9,193,173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2,564,074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1,066,254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1,492,561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1,901,992</w:t>
            </w: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471,244</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12,161,419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4,527,879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accounts receivable, net as of the dates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422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105,049</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4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936,321</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4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709,203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02" w:name="page103"/>
    <w:bookmarkEnd w:id="102"/>
    <w:p>
      <w:pPr>
        <w:jc w:val="both"/>
        <w:spacing w:after="0" w:line="282" w:lineRule="auto"/>
        <w:rPr>
          <w:sz w:val="20"/>
          <w:szCs w:val="20"/>
          <w:color w:val="auto"/>
        </w:rPr>
      </w:pPr>
      <w:r>
        <w:rPr>
          <w:rFonts w:ascii="Times New Roman" w:cs="Times New Roman" w:eastAsia="Times New Roman" w:hAnsi="Times New Roman"/>
          <w:sz w:val="18"/>
          <w:szCs w:val="18"/>
          <w:color w:val="auto"/>
        </w:rPr>
        <w:t>Commission expenses were $466,951 and $193,995 for the years ended December 31, 2025 and 2024, respectively. The following summarizes the activity related to costs to obtain a contract during the years ended December 31, 2025 and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39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51,472</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3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180,141</w:t>
            </w:r>
          </w:p>
        </w:tc>
      </w:tr>
      <w:tr>
        <w:trPr>
          <w:trHeight w:val="216"/>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33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(200,109)</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3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31,504</w:t>
            </w:r>
          </w:p>
        </w:tc>
      </w:tr>
      <w:tr>
        <w:trPr>
          <w:trHeight w:val="216"/>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3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286,311</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3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(221,609)</w:t>
            </w: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39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96,206</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$3,867,853 and $1,214,096 in revenue that was included in the prior year deferred revenue balance,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total deferred revenue was as follows for the periods indicated:</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6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 beginning of period</w:t>
            </w:r>
          </w:p>
        </w:tc>
        <w:tc>
          <w:tcPr>
            <w:tcW w:w="12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4,052,270</w:t>
            </w:r>
          </w:p>
        </w:tc>
        <w:tc>
          <w:tcPr>
            <w:tcW w:w="5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1,214,096</w:t>
            </w:r>
          </w:p>
        </w:tc>
      </w:tr>
      <w:tr>
        <w:trPr>
          <w:trHeight w:val="216"/>
        </w:trPr>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Billings</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9,487,029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4,362,730</w:t>
            </w:r>
          </w:p>
        </w:tc>
      </w:tr>
      <w:tr>
        <w:trPr>
          <w:trHeight w:val="216"/>
        </w:trPr>
        <w:tc>
          <w:tcPr>
            <w:tcW w:w="6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(3,867,853)</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(1,214,096)</w:t>
            </w:r>
          </w:p>
        </w:tc>
      </w:tr>
      <w:tr>
        <w:trPr>
          <w:trHeight w:val="216"/>
        </w:trPr>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(6,383,159)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(3,091,333)</w:t>
            </w:r>
          </w:p>
        </w:tc>
      </w:tr>
      <w:tr>
        <w:trPr>
          <w:trHeight w:val="216"/>
        </w:trPr>
        <w:tc>
          <w:tcPr>
            <w:tcW w:w="6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Acquired deferred revenue of OpenReel (see Note 4 – Acquisitions)</w:t>
            </w: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2,780,873</w:t>
            </w:r>
          </w:p>
        </w:tc>
      </w:tr>
      <w:tr>
        <w:trPr>
          <w:trHeight w:val="216"/>
        </w:trPr>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Acquired deferred revenue of Vidello (see Note 4 – Acquisitions)</w:t>
            </w:r>
          </w:p>
        </w:tc>
        <w:tc>
          <w:tcPr>
            <w:tcW w:w="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447,966</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 end of period</w:t>
            </w:r>
          </w:p>
        </w:tc>
        <w:tc>
          <w:tcPr>
            <w:tcW w:w="8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3,736,253</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4,052,270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939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93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w:t>
      </w:r>
      <w:r>
        <w:rPr>
          <w:rFonts w:ascii="Times New Roman" w:cs="Times New Roman" w:eastAsia="Times New Roman" w:hAnsi="Times New Roman"/>
          <w:sz w:val="18"/>
          <w:szCs w:val="18"/>
          <w:color w:val="212529"/>
        </w:rPr>
        <w:t>Private Placement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Notes, Private Placement Warrants </w:t>
      </w:r>
      <w:r>
        <w:rPr>
          <w:rFonts w:ascii="Times New Roman" w:cs="Times New Roman" w:eastAsia="Times New Roman" w:hAnsi="Times New Roman"/>
          <w:sz w:val="18"/>
          <w:szCs w:val="18"/>
          <w:color w:val="000000"/>
        </w:rPr>
        <w:t>and Goodwill and Definite-lived intangible assets recognized as part of acquisitions, represent Level 3 measurements.</w:t>
      </w:r>
    </w:p>
    <w:p>
      <w:pPr>
        <w:spacing w:after="0" w:line="1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98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20" w:type="dxa"/>
            <w:vAlign w:val="bottom"/>
            <w:gridSpan w:val="2"/>
            <w:vMerge w:val="continue"/>
          </w:tcPr>
          <w:p>
            <w:pPr>
              <w:spacing w:after="0"/>
              <w:rPr>
                <w:sz w:val="18"/>
                <w:szCs w:val="18"/>
                <w:color w:val="auto"/>
              </w:rPr>
            </w:pPr>
          </w:p>
        </w:tc>
        <w:tc>
          <w:tcPr>
            <w:tcW w:w="21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8,027,391</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3,883,853</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21,991,721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18,972,475</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GEM warrant liabilities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Earnout liability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990,673</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1,200,501</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Agile term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1,728,487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3,143,000</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1800 Diagonal convertible notes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746,987</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432,000</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Private Placement Convertible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1,856,000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295,603</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Boot Capital note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115,836</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assets and liabilities that are measured at fair value on the acquisition date,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summarizes the changes in the fair value of the Public Warrants liability for the year ended December 31, 2025. See also </w:t>
      </w:r>
      <w:r>
        <w:rPr>
          <w:rFonts w:ascii="Times New Roman" w:cs="Times New Roman" w:eastAsia="Times New Roman" w:hAnsi="Times New Roman"/>
          <w:sz w:val="18"/>
          <w:szCs w:val="18"/>
          <w:i w:val="1"/>
          <w:iCs w:val="1"/>
          <w:color w:val="auto"/>
        </w:rPr>
        <w:t>Note 13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Liabilities.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Public Warrants</w:t>
            </w: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5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5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tc>
        <w:tc>
          <w:tcPr>
            <w:tcW w:w="33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cs="Times New Roman" w:eastAsia="Times New Roman" w:hAnsi="Times New Roman"/>
          <w:sz w:val="18"/>
          <w:szCs w:val="18"/>
          <w:i w:val="1"/>
          <w:iCs w:val="1"/>
          <w:color w:val="auto"/>
        </w:rPr>
        <w:t>Note 13 – Warrant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GEM Warrants liability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GEM Warrants</w:t>
            </w: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Yorkville convertible notes for the year ended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Yorkville Convertible</w:t>
            </w:r>
          </w:p>
        </w:tc>
      </w:tr>
      <w:tr>
        <w:trPr>
          <w:trHeight w:val="238"/>
        </w:trPr>
        <w:tc>
          <w:tcPr>
            <w:tcW w:w="9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Note</w:t>
            </w:r>
          </w:p>
        </w:tc>
      </w:tr>
      <w:tr>
        <w:trPr>
          <w:trHeight w:val="21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2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Yorkville convertible note</w:t>
            </w:r>
          </w:p>
        </w:tc>
        <w:tc>
          <w:tcPr>
            <w:tcW w:w="4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4,950,000</w:t>
            </w: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444,000</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Payment in shares to settle Yorkville convertible notes</w:t>
            </w:r>
          </w:p>
        </w:tc>
        <w:tc>
          <w:tcPr>
            <w:tcW w:w="4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in cash of Yorkville convertible notes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(4,514,664)</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4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321,165</w:t>
            </w:r>
          </w:p>
        </w:tc>
      </w:tr>
      <w:tr>
        <w:trPr>
          <w:trHeight w:val="20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1,200,501</w:t>
            </w:r>
          </w:p>
        </w:tc>
      </w:tr>
      <w:tr>
        <w:trPr>
          <w:trHeight w:val="20"/>
        </w:trPr>
        <w:tc>
          <w:tcPr>
            <w:tcW w:w="9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Assets - related party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The fair value of the bifurcated derivative asset was estimated utilizing the with and without method which uses the probability weighted difference between the scenarios with the derivative and the plain vanilla maturity scenario without a derivative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fair value of the bifurcated embedded derivative asset for the year ended December 31, 2025, relating to the Convertible Note to CP BF issued on September 23,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7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63,000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50"/>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Term Notes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(“ASC 825”).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a summary of the changes in the fair value of the Agile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Convertible Notes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a summary of the changes in the fair value of the 1800 Diagonal Convertible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Offering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a summary of the changes in the fair value of the Private Placement Convertible Notes, and to </w:t>
      </w:r>
      <w:r>
        <w:rPr>
          <w:rFonts w:ascii="Times New Roman" w:cs="Times New Roman" w:eastAsia="Times New Roman" w:hAnsi="Times New Roman"/>
          <w:sz w:val="18"/>
          <w:szCs w:val="18"/>
          <w:i w:val="1"/>
          <w:iCs w:val="1"/>
          <w:color w:val="auto"/>
        </w:rPr>
        <w:t>Note 13 – Warrant Liabilities</w:t>
      </w:r>
      <w:r>
        <w:rPr>
          <w:rFonts w:ascii="Times New Roman" w:cs="Times New Roman" w:eastAsia="Times New Roman" w:hAnsi="Times New Roman"/>
          <w:sz w:val="18"/>
          <w:szCs w:val="18"/>
          <w:color w:val="auto"/>
        </w:rPr>
        <w:t xml:space="preserve"> for a description of the warrants issued in connection with the Private Placement Offering.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 Warrants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cs="Times New Roman" w:eastAsia="Times New Roman" w:hAnsi="Times New Roman"/>
          <w:sz w:val="18"/>
          <w:szCs w:val="18"/>
          <w:i w:val="1"/>
          <w:iCs w:val="1"/>
          <w:color w:val="auto"/>
        </w:rPr>
        <w:t>Note 13 –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further details.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including share price, term, risk-free rate, exercise price and dividend yield.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ranges of inputs to and the changes in the fair value of the Private Placement Warrant liability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shd w:val="clear" w:color="auto" w:fill="CFF0FC"/>
          </w:tcPr>
          <w:p>
            <w:pPr>
              <w:spacing w:after="0"/>
              <w:rPr>
                <w:sz w:val="18"/>
                <w:szCs w:val="18"/>
                <w:color w:val="auto"/>
              </w:rPr>
            </w:pPr>
          </w:p>
        </w:tc>
        <w:tc>
          <w:tcPr>
            <w:tcW w:w="1900" w:type="dxa"/>
            <w:vAlign w:val="bottom"/>
            <w:gridSpan w:val="3"/>
            <w:shd w:val="clear" w:color="auto" w:fill="CFF0FC"/>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2.50 - 4.77</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 - 3.7%</w:t>
            </w:r>
          </w:p>
        </w:tc>
        <w:tc>
          <w:tcPr>
            <w:tcW w:w="0" w:type="dxa"/>
            <w:vAlign w:val="bottom"/>
          </w:tcPr>
          <w:p>
            <w:pPr>
              <w:spacing w:after="0"/>
              <w:rPr>
                <w:sz w:val="1"/>
                <w:szCs w:val="1"/>
                <w:color w:val="auto"/>
              </w:rPr>
            </w:pPr>
          </w:p>
        </w:tc>
      </w:tr>
      <w:tr>
        <w:trPr>
          <w:trHeight w:val="216"/>
        </w:trPr>
        <w:tc>
          <w:tcPr>
            <w:tcW w:w="7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$2.50-$4.36</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14"/>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tc>
        <w:tc>
          <w:tcPr>
            <w:tcW w:w="0" w:type="dxa"/>
            <w:vAlign w:val="bottom"/>
          </w:tcPr>
          <w:p>
            <w:pPr>
              <w:spacing w:after="0"/>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0" w:type="dxa"/>
            <w:vAlign w:val="bottom"/>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issuance – June Warrant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361,000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Loss on issuance – August Warrant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356,000</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issuance – October Warrant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807,509</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(1,228,906)</w:t>
            </w:r>
          </w:p>
        </w:tc>
        <w:tc>
          <w:tcPr>
            <w:tcW w:w="0" w:type="dxa"/>
            <w:vAlign w:val="bottom"/>
          </w:tcPr>
          <w:p>
            <w:pPr>
              <w:spacing w:after="0"/>
              <w:rPr>
                <w:sz w:val="1"/>
                <w:szCs w:val="1"/>
                <w:color w:val="auto"/>
              </w:rPr>
            </w:pPr>
          </w:p>
        </w:tc>
      </w:tr>
      <w:tr>
        <w:trPr>
          <w:trHeight w:val="25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shd w:val="clear" w:color="auto" w:fill="CFF0FC"/>
          </w:tcPr>
          <w:p>
            <w:pPr>
              <w:spacing w:after="0"/>
              <w:rPr>
                <w:sz w:val="21"/>
                <w:szCs w:val="21"/>
                <w:color w:val="auto"/>
              </w:rPr>
            </w:pPr>
          </w:p>
        </w:tc>
        <w:tc>
          <w:tcPr>
            <w:tcW w:w="1900" w:type="dxa"/>
            <w:vAlign w:val="bottom"/>
            <w:gridSpan w:val="3"/>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295,603</w:t>
            </w:r>
          </w:p>
        </w:tc>
        <w:tc>
          <w:tcPr>
            <w:tcW w:w="0" w:type="dxa"/>
            <w:vAlign w:val="bottom"/>
          </w:tcPr>
          <w:p>
            <w:pPr>
              <w:spacing w:after="0"/>
              <w:rPr>
                <w:sz w:val="1"/>
                <w:szCs w:val="1"/>
                <w:color w:val="auto"/>
              </w:rPr>
            </w:pPr>
          </w:p>
        </w:tc>
      </w:tr>
      <w:tr>
        <w:trPr>
          <w:trHeight w:val="413"/>
        </w:trPr>
        <w:tc>
          <w:tcPr>
            <w:tcW w:w="7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18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the dates indicated: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12,782</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34,474</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(30,935)</w:t>
            </w:r>
          </w:p>
        </w:tc>
        <w:tc>
          <w:tcPr>
            <w:tcW w:w="0" w:type="dxa"/>
            <w:vAlign w:val="bottom"/>
          </w:tcPr>
          <w:p>
            <w:pPr>
              <w:spacing w:after="0"/>
              <w:rPr>
                <w:sz w:val="1"/>
                <w:szCs w:val="1"/>
                <w:color w:val="auto"/>
              </w:rPr>
            </w:pPr>
          </w:p>
        </w:tc>
      </w:tr>
      <w:tr>
        <w:trPr>
          <w:trHeight w:val="22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8,246</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3,539</w:t>
            </w:r>
          </w:p>
        </w:tc>
        <w:tc>
          <w:tcPr>
            <w:tcW w:w="0" w:type="dxa"/>
            <w:vAlign w:val="bottom"/>
          </w:tcPr>
          <w:p>
            <w:pPr>
              <w:spacing w:after="0"/>
              <w:rPr>
                <w:sz w:val="1"/>
                <w:szCs w:val="1"/>
                <w:color w:val="auto"/>
              </w:rPr>
            </w:pP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93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93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and 2024 was $4,424 and $2,825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Prepaid Expenses and Other Current Assets</w:t>
            </w: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software costs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153,526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59,855</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 trade</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114,041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239,041</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receivable</w:t>
            </w:r>
          </w:p>
        </w:tc>
        <w:tc>
          <w:tcPr>
            <w:tcW w:w="18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insurance costs</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130,345</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commissions</w:t>
            </w:r>
          </w:p>
        </w:tc>
        <w:tc>
          <w:tcPr>
            <w:tcW w:w="18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31,504</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consulting costs</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76,767</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advertising and marketing costs</w:t>
            </w:r>
          </w:p>
        </w:tc>
        <w:tc>
          <w:tcPr>
            <w:tcW w:w="18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29,133</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merchant fees</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60,774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26,690</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data license and subscription costs</w:t>
            </w:r>
          </w:p>
        </w:tc>
        <w:tc>
          <w:tcPr>
            <w:tcW w:w="18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3,125</w:t>
            </w:r>
          </w:p>
        </w:tc>
      </w:tr>
      <w:tr>
        <w:trPr>
          <w:trHeight w:val="216"/>
        </w:trPr>
        <w:tc>
          <w:tcPr>
            <w:tcW w:w="7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46,414</w:t>
            </w:r>
          </w:p>
        </w:tc>
      </w:tr>
      <w:tr>
        <w:trPr>
          <w:trHeight w:val="20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445,089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643,674</w:t>
            </w:r>
          </w:p>
        </w:tc>
      </w:tr>
      <w:tr>
        <w:trPr>
          <w:trHeight w:val="20"/>
        </w:trPr>
        <w:tc>
          <w:tcPr>
            <w:tcW w:w="7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939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reportable segment as of and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Operating Co.</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Vidello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 December 31, 2024</w:t>
            </w:r>
          </w:p>
        </w:tc>
        <w:tc>
          <w:tcPr>
            <w:tcW w:w="6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2,171,526</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16,800,949</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18,972,475</w:t>
            </w:r>
          </w:p>
        </w:tc>
      </w:tr>
      <w:tr>
        <w:trPr>
          <w:trHeight w:val="216"/>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Additions to goodwill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4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3,019,246</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3,019,246</w:t>
            </w: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 December 31, 2025</w:t>
            </w:r>
          </w:p>
        </w:tc>
        <w:tc>
          <w:tcPr>
            <w:tcW w:w="4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2,171,526</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3,019,246</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16,800,949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21,991,721</w:t>
            </w:r>
          </w:p>
        </w:tc>
      </w:tr>
      <w:tr>
        <w:trPr>
          <w:trHeight w:val="41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212529"/>
              </w:rPr>
              <w:t>Intangible assets subject to amortization consist of the following:</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0"/>
        </w:trPr>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8"/>
        </w:trPr>
        <w:tc>
          <w:tcPr>
            <w:tcW w:w="5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c>
          <w:tcPr>
            <w:tcW w:w="5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left="610"/>
              <w:spacing w:after="0"/>
              <w:rPr>
                <w:sz w:val="20"/>
                <w:szCs w:val="20"/>
                <w:color w:val="auto"/>
              </w:rPr>
            </w:pPr>
            <w:r>
              <w:rPr>
                <w:rFonts w:ascii="Times New Roman" w:cs="Times New Roman" w:eastAsia="Times New Roman" w:hAnsi="Times New Roman"/>
                <w:sz w:val="18"/>
                <w:szCs w:val="18"/>
                <w:color w:val="auto"/>
                <w:w w:val="96"/>
              </w:rPr>
              <w:t>6 - 7</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1,139,710</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rPr>
              <w:t>10 - 15</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1,637,100</w:t>
            </w: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gridSpan w:val="2"/>
            <w:shd w:val="clear" w:color="auto" w:fill="CFF0FC"/>
          </w:tcPr>
          <w:p>
            <w:pPr>
              <w:jc w:val="center"/>
              <w:ind w:left="610"/>
              <w:spacing w:after="0"/>
              <w:rPr>
                <w:sz w:val="20"/>
                <w:szCs w:val="20"/>
                <w:color w:val="auto"/>
              </w:rPr>
            </w:pPr>
            <w:r>
              <w:rPr>
                <w:rFonts w:ascii="Times New Roman" w:cs="Times New Roman" w:eastAsia="Times New Roman" w:hAnsi="Times New Roman"/>
                <w:sz w:val="18"/>
                <w:szCs w:val="18"/>
                <w:color w:val="auto"/>
                <w:w w:val="96"/>
              </w:rPr>
              <w:t>6 - 8</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6,425,010</w:t>
            </w: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gross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9,201,820</w:t>
            </w: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(1,174,429)</w:t>
            </w: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8,027,391</w:t>
            </w:r>
          </w:p>
        </w:tc>
      </w:tr>
      <w:tr>
        <w:trPr>
          <w:trHeight w:val="20"/>
        </w:trPr>
        <w:tc>
          <w:tcPr>
            <w:tcW w:w="5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-1842135</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-1824990</wp:posOffset>
            </wp:positionV>
            <wp:extent cx="85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-1988185</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-1842135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-1824990</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-1988185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-1842135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-1824990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-1988185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Total amortization expense related to intangible assets was $1,146,066 for the year ended December 31, 2025. Expected amortization expense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7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120" w:type="dxa"/>
            <w:vAlign w:val="bottom"/>
            <w:shd w:val="clear" w:color="auto" w:fill="CCEEFF"/>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120" w:type="dxa"/>
            <w:vAlign w:val="bottom"/>
            <w:shd w:val="clear" w:color="auto" w:fill="CCEEFF"/>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1,205,547</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1,962,162</w:t>
            </w:r>
          </w:p>
        </w:tc>
      </w:tr>
      <w:tr>
        <w:trPr>
          <w:trHeight w:val="24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7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8,027,391</w:t>
            </w:r>
          </w:p>
        </w:tc>
      </w:tr>
      <w:tr>
        <w:trPr>
          <w:trHeight w:val="413"/>
        </w:trPr>
        <w:tc>
          <w:tcPr>
            <w:tcW w:w="3100" w:type="dxa"/>
            <w:vAlign w:val="bottom"/>
            <w:tcBorders>
              <w:top w:val="single" w:sz="8" w:color="CCEEFF"/>
            </w:tcBorders>
          </w:tcPr>
          <w:p>
            <w:pPr>
              <w:spacing w:after="0"/>
              <w:rPr>
                <w:sz w:val="24"/>
                <w:szCs w:val="24"/>
                <w:color w:val="auto"/>
              </w:rPr>
            </w:pPr>
          </w:p>
        </w:tc>
        <w:tc>
          <w:tcPr>
            <w:tcW w:w="6120" w:type="dxa"/>
            <w:vAlign w:val="bottom"/>
            <w:tcBorders>
              <w:top w:val="single" w:sz="8" w:color="CCEEFF"/>
            </w:tcBorders>
          </w:tcPr>
          <w:p>
            <w:pPr>
              <w:ind w:left="2360"/>
              <w:spacing w:after="0"/>
              <w:rPr>
                <w:sz w:val="20"/>
                <w:szCs w:val="20"/>
                <w:color w:val="auto"/>
              </w:rPr>
            </w:pPr>
            <w:r>
              <w:rPr>
                <w:rFonts w:ascii="Times New Roman" w:cs="Times New Roman" w:eastAsia="Times New Roman" w:hAnsi="Times New Roman"/>
                <w:sz w:val="18"/>
                <w:szCs w:val="18"/>
                <w:color w:val="auto"/>
              </w:rPr>
              <w:t>F-28</w:t>
            </w:r>
          </w:p>
        </w:tc>
        <w:tc>
          <w:tcPr>
            <w:tcW w:w="6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763"/>
        </w:trPr>
        <w:tc>
          <w:tcPr>
            <w:tcW w:w="310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Accrued and Other Current Liabilities</w:t>
            </w: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2,365,081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2,419,829</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tax payable</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250,672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452,508</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Excise tax payable</w:t>
            </w:r>
          </w:p>
        </w:tc>
        <w:tc>
          <w:tcPr>
            <w:tcW w:w="18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223,717</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for tax payable</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577,726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18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439,693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207,970</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legal costs</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167,936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315,764</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180" w:type="dxa"/>
            <w:vAlign w:val="bottom"/>
          </w:tcPr>
          <w:p>
            <w:pPr>
              <w:spacing w:after="0"/>
              <w:rPr>
                <w:sz w:val="18"/>
                <w:szCs w:val="18"/>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46,759</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51,563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51,308</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224,186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173,163</w:t>
            </w:r>
          </w:p>
        </w:tc>
      </w:tr>
      <w:tr>
        <w:trPr>
          <w:trHeight w:val="23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4,353,943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3,891,018</w:t>
            </w: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939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939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Related Party</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30, 2023, the Company issued a subordinate promissory note (“Alco August Promissory Note”) in the aggregate principal amount of $150,000 to Alco Investment Company ("Alco"),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For the year ended December 31, 2024, interest expense on the Alco August Promissory Note totaled $11,284, comprised of $8,022 of contractual accrued interest and $3,261 for the amortization of the discount. As of December 31, 2024 the Alco August Promissory Note was converted in full (see below).</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2023, the Company issued a subordinate promissory note (“Alco September Promissory Note”) in the aggregate principal amount of up to $1,500,000 to Alco. The Alco September Promissory Note bears interest at a rate of 8% per annum. The outstanding principal and accrued interest were due and payable on September 30, 2024, however the due date was extended and the debt subsequently settled (see below). For the year ended December 31, 2024, interest expense on the Alco September Promissory Note totaled $283,188, comprised of $92,822 of contractual accrued interest and $190,366 for the amortization of the discount. As of December 31, 2024 the Alco September Promissory Note was converted in full (see below).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16, 2023, the Company issued a subordinate promissory note (“Alco November Promissory Note”) in the aggregate principal amount of up to $750,000 to Alco. The Alco November Promissory Note bears interest at a rate of 8% per annum. The outstanding principal and accrued interest were due and payable on April 13, 2024, however the due date was extended and the debt subsequently settled (see below). For the year ended December 31, 2024, interest expense on the Alco November Promissory Note totaled $321,189, comprised of $43,891 of contractual accrued interest and $277,298 for the amortization of the discount. As of December 31, 2024 the Alco November Promissory Note was converted in full (see below).</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13, 2023, the Company issued a subordinate promissory note (“Alco December Promissory Note”) in the aggregate principal amount of up to $2,000,000 to Alco. The Alco December Promissory Note bears interest at a rate of 8% per annum. The outstanding principal and accrued interest are due and payable on December 31, 2024. For the year ended December 31, 2024, interest expense on the Alco December Promissory Note totaled $936,941, comprised of $117,040 of contractual accrued interest and $819,901 for the amortization of the discount. As of December 31, 2024 the Alco December Promissory Note was converted in full (see below).</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150,000, 75,000, and 600,000, respectively. Pursuant to the Alco Share Transfer Agreements, the shares are subject to an 180-day lock-up period upon issuance of the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Alco Share Transfer Agreements, the Company considered the guidance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and May 2024 Amendment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 w:cs="Times New Roman" w:eastAsia="Times New Roman" w:hAnsi="Times New Roman"/>
          <w:sz w:val="18"/>
          <w:szCs w:val="18"/>
          <w:i w:val="1"/>
          <w:iCs w:val="1"/>
          <w:color w:val="auto"/>
        </w:rPr>
        <w:t>Troubled Debt Restructurings</w:t>
      </w:r>
      <w:r>
        <w:rPr>
          <w:rFonts w:ascii="Times New Roman" w:cs="Times New Roman" w:eastAsia="Times New Roman" w:hAnsi="Times New Roman"/>
          <w:sz w:val="18"/>
          <w:szCs w:val="18"/>
          <w:color w:val="auto"/>
        </w:rPr>
        <w:t xml:space="preserve">, and ASC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Alco Promissory Note Conversion and Settlement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and Alco agreed to convert an aggregate balance of $4,711,681 of debt inclusive of principal and accrued interest, representing the aggregate total balance outstanding to Alco as of that date (excluding the carrying value of debt discounts), into 282,420 shares of Class A Common Stock, Warrants to purchase up to 1,331,340 shares of Class A Common Stock and Pre-Funded Warrants to purchase up to 1,048,920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- 7GC</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assumed two promissory notes in connection with the Merger which remained outstanding as of December 31, 2023. On February 9, 2024, the $2,540,091 balance was converted into 17,813 shares the Company’s Class A Common Stock pursuant to the terms in the 7GC Promissory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9" w:name="page110"/>
    <w:bookmarkEnd w:id="109"/>
    <w:p>
      <w:pPr>
        <w:jc w:val="both"/>
        <w:spacing w:after="0" w:line="258" w:lineRule="auto"/>
        <w:rPr>
          <w:sz w:val="20"/>
          <w:szCs w:val="20"/>
          <w:color w:val="auto"/>
        </w:rPr>
      </w:pPr>
      <w:r>
        <w:rPr>
          <w:rFonts w:ascii="Times New Roman" w:cs="Times New Roman" w:eastAsia="Times New Roman" w:hAnsi="Times New Roman"/>
          <w:sz w:val="18"/>
          <w:szCs w:val="18"/>
          <w:color w:val="auto"/>
        </w:rPr>
        <w:t>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w:t>
      </w:r>
    </w:p>
    <w:p>
      <w:pPr>
        <w:spacing w:after="0" w:line="1" w:lineRule="exact"/>
        <w:rPr>
          <w:sz w:val="20"/>
          <w:szCs w:val="20"/>
          <w:color w:val="auto"/>
        </w:rPr>
      </w:pPr>
    </w:p>
    <w:p>
      <w:pPr>
        <w:jc w:val="both"/>
        <w:ind w:firstLine="8"/>
        <w:spacing w:after="0" w:line="255" w:lineRule="auto"/>
        <w:tabs>
          <w:tab w:leader="none" w:pos="2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issued an aggregate of 19,000 shares of Class A Common Stock to GEM in lieu of monthly payment obligations and during the year ended December 31, 2025 the Company paid an aggregate of $215,057 to satisfy the remaining balance of the GEM Promissory Note.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(Yorkville)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xml:space="preserve"> for further details on the SEPA),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2024, the Company and Yorkville entered into an Amended and Restated Debt Repayment Agreement (the “Amended Debt Repayment Agreement”) with respect to the Yorkville Promissory Notes, which amends and restates the Original Debt Repayment</w:t>
      </w: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0" w:name="page111"/>
    <w:bookmarkEnd w:id="110"/>
    <w:p>
      <w:pPr>
        <w:jc w:val="both"/>
        <w:spacing w:after="0" w:line="253" w:lineRule="auto"/>
        <w:rPr>
          <w:sz w:val="20"/>
          <w:szCs w:val="20"/>
          <w:color w:val="auto"/>
        </w:rPr>
      </w:pPr>
      <w:r>
        <w:rPr>
          <w:rFonts w:ascii="Times New Roman" w:cs="Times New Roman" w:eastAsia="Times New Roman" w:hAnsi="Times New Roman"/>
          <w:sz w:val="18"/>
          <w:szCs w:val="18"/>
          <w:color w:val="auto"/>
        </w:rPr>
        <w:t>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Amended Repayment Agreement, the Company made a cash principal payment of $750,000 on May 31, 2024 (the “Repayment Date”), and issued an Advance Notice for the purchase of 1,200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$20.00, and the maturity date for the Outstanding Promissory Notes is extended by 120 days to January 17,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Yorkville Promissory Notes have a maturity date (as modified by the Floor Price Reduction Agreement) of January 17, 2025, and accrue interest at 0% per annum, subject to an increase to 18% per annum upon events of default as defined in the agreement. As of December 31, 2025, no events of default have occurred.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January 2024, the Company’s stock price per share fell below the then in effect Floor Price (as defined in the Standby Equity Purchase Agreement disclosure in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of $20.00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$2.94 per share of Class A Common Stock, thus curing the Amortization Event condition.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$2,000,000 of the full outstanding principal under the December Yorkville Convertible Note, respectively, was converted into 27,538 shares of Class A Common stock of the Company. During the year ended December 31, 2024,</w:t>
      </w: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1" w:name="page112"/>
    <w:bookmarkEnd w:id="111"/>
    <w:p>
      <w:pPr>
        <w:jc w:val="both"/>
        <w:spacing w:after="0" w:line="266" w:lineRule="auto"/>
        <w:rPr>
          <w:sz w:val="20"/>
          <w:szCs w:val="20"/>
          <w:color w:val="auto"/>
        </w:rPr>
      </w:pPr>
      <w:r>
        <w:rPr>
          <w:rFonts w:ascii="Times New Roman" w:cs="Times New Roman" w:eastAsia="Times New Roman" w:hAnsi="Times New Roman"/>
          <w:sz w:val="18"/>
          <w:szCs w:val="18"/>
          <w:color w:val="auto"/>
        </w:rPr>
        <w:t>the full principal amount of $1,000,000 under the February Yorkville Promissory Note was converted into 2,891 Class A Common stock of the Company. During the year ended December 31, 2024, the full outstanding principal amount of $750,000 under the March Yorkville Promissory Note was converted into 14,986 shares of Class A Common Stock.</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January 30, 2025 (the “Issuance Date”), in connection with and pursuant to the terms of the SEPA (refer to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xml:space="preserve"> for further details), Yorkville agreed to advance to the Company, in exchange for a Convertible Promissory Note (the “January 2025 Yorkville Note”), a total principal amount of $3,500,000. The Company received net proceeds of $3,140,000 after an original issue discount of $350,000, and $10,000 in debt issuance costs paid to Yorkville.</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January 2025 Yorkville Note had a maturity date of July 31, 2025, but may be extended at the option of the Company. Beginning on the 30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day from the Issuance Date, and continuing on the same day of each successive calendar month thereafter, (each, an “Installment Date”), the Company shall repay a portion of the outstanding balance of the January 2025 Yorkville Note in an amount equal to the sum of (i) $1,000,000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$20.00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$3,640,000, of which approximately $3,500,000 was applied against outstanding principal, and approximately $140,000 was paid to Yorkville as Payment Premiums and expensed as incurred. As of June 30, 2025, the January 2025 Yorkville Note was fully repaid.</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2025, the Company entered into a Convertible Promissory Note (the “September 2025 Yorkville Note”) with Yorkville in principal amount of $2,000,000 (the “Original Principal Amount”) to the Company, to be used as an advance under the SEPA. The Company received $890,000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$1,000,000, less 10% discount of the Original Principal Amount, netted from the purchase price due and structured as a purchase discount (“Advance #2”).</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September 2025 Yorkville Note was issued on September 16, 2025 and the maturity date of the September 2025 Yorkville Note is March 16, 2026, but may be extended at the option of the Company. Beginning on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from the date of issuance,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$2.50 per share (the “Conversion Price”). The Investor may elect to convert part or all of the outstanding balance of the September 2025 Yorkville Note at any time or from time 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6, 2025, the Company issued an Advance Notice to Yorkville pursuant to the SEPA in which the Company requested the purchase of 115,000 shares of the Company's Class A Common Stock at a purchase price of $3.08 for a total purchase price of $354,074 to be applied against the outstanding Yorkville Convertible Notes. Upon settlement on October 8, 2025, the Company issued 115,000 shares of Class A Common Stock to Yorkville.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13, 2025, the Company issued an Advance Notice to Yorkville pursuant to the SEPA in which the Company requested the purchase of 65,000 shares of the Company's Class A Common Stock at a purchase price of $2.95 for a total purchase price of $191,477</w:t>
      </w: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2" w:name="page113"/>
    <w:bookmarkEnd w:id="112"/>
    <w:p>
      <w:pPr>
        <w:jc w:val="both"/>
        <w:ind w:firstLine="52"/>
        <w:spacing w:after="0" w:line="282" w:lineRule="auto"/>
        <w:rPr>
          <w:sz w:val="20"/>
          <w:szCs w:val="20"/>
          <w:color w:val="auto"/>
        </w:rPr>
      </w:pPr>
      <w:r>
        <w:rPr>
          <w:rFonts w:ascii="Times New Roman" w:cs="Times New Roman" w:eastAsia="Times New Roman" w:hAnsi="Times New Roman"/>
          <w:sz w:val="18"/>
          <w:szCs w:val="18"/>
          <w:color w:val="auto"/>
        </w:rPr>
        <w:t>to be applied against the outstanding Yorkville Convertible Notes. Upon settlement on October 15, 2025, the Company issued 65,000 shares of Class A Common Stock to Yorkville.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Convertible notes - related party (CP BF)</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$1,336.40 per unit. If not sooner converted or prepaid, the Convertible Note principal together with accrued and unpaid interest thereon, unpaid fees and expenses and any other Obligations then due, shall be paid on the Loan Maturity Date.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rate for the Term Note was 16% and interest expense totaled $851,175 for the year ended December 31, 2024, comprised of $772,550 of contractual interest and $78,625 of amortization of the discount. The effective interest rate for the CP BF Convertible Note and First Amendment Convertible Note was 16% for the year ended December 31, 2024. For the year ended December 31, 2024, interest expense on the Convertible Notes totaled $350,430 comprised of $325,818 of contractual interest and $24,612 for the amortization of the discount.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 (CP BF restructuring)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7,000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$38.90. Upon the occurrence, and during the continuance, of an Event of Default (as defined in the agreement), interest on the 2024 CP BF Convertible Note will bear PIK interest at a per annum rate of 20% (“2024 Default Rate.”)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3" w:name="page114"/>
    <w:bookmarkEnd w:id="113"/>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2024 CP BF Convertible Note has an embedded redemption put feature upon a Prepayment and Default Interest triggering events. For further discussion of this derivative see </w:t>
      </w:r>
      <w:r>
        <w:rPr>
          <w:rFonts w:ascii="Times New Roman" w:cs="Times New Roman" w:eastAsia="Times New Roman" w:hAnsi="Times New Roman"/>
          <w:sz w:val="18"/>
          <w:szCs w:val="18"/>
          <w:i w:val="1"/>
          <w:iCs w:val="1"/>
          <w:color w:val="auto"/>
        </w:rPr>
        <w:t>Note 7 – 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CP BF exercised its optional conversion option in which it received 5,560 Class A Common Stock at the fixed conversion price per share of $38.90 in satisfaction of $216,284 of the Company's obligations under the 2024 CP BF Convertible Note.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26,085 shares of Class A Common Stock, CP BF Warrants to purchase up to 56,555 shares of Class A Common Stock and CP BF Pre-Funded Warrants to purchase up to 30,470 shares of Class A Common Stock (all such securities and shares collectively referred to as the “CP BF Registrable Securities”). The CP BF Warrant can be exercised at an initial exercise price of $38.90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231,114 shares of Class B Common Stock that he owns until such time as CP BF no longer owns any of the CP BF Registrable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$3,000,000. For the year ended December 31, 2025, the Company paid a total of $2,840,677 which satisfied outstanding principal under the 2024 CP BF Convertible Note.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interest rate for the 2024 CP BF Convertible Note was approximately 15.4% for the year ended December 31, 2025 and 2024. For the year ended December 31, 2025 and 2024, interest expense on the 2024 CP BF Convertible Note totaled $1,177,033 and $368,525,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 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r>
      <w:tr>
        <w:trPr>
          <w:trHeight w:val="199"/>
        </w:trPr>
        <w:tc>
          <w:tcPr>
            <w:tcW w:w="5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2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8,758,775</w:t>
            </w:r>
          </w:p>
        </w:tc>
        <w:tc>
          <w:tcPr>
            <w:tcW w:w="7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8,758,775</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Debt premium, net</w:t>
            </w:r>
          </w:p>
        </w:tc>
        <w:tc>
          <w:tcPr>
            <w:tcW w:w="2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11,066</w:t>
            </w: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2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8,758,775</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8,769,841</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1,557,558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369,459</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made</w:t>
            </w:r>
          </w:p>
        </w:tc>
        <w:tc>
          <w:tcPr>
            <w:tcW w:w="2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(5,011,987)</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(283,315)</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2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(381,745)</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(216,284)</w:t>
            </w: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2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4,922,601</w:t>
            </w:r>
          </w:p>
        </w:tc>
        <w:tc>
          <w:tcPr>
            <w:tcW w:w="7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8,639,701</w:t>
            </w: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$2.50.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$2,000,000 against the Balance until the earlier of (a) 60 days following the date of the CP BF Letter Agreement and (b) receipt of $10,000,000 in gross proceeds from the sale of Company securities, the Company will no longer be required to prepay a certain percentage of other proceeds received from securities offerings to CP BF, as stipulated in the Loan Agreement.</w:t>
      </w:r>
    </w:p>
    <w:p>
      <w:pPr>
        <w:spacing w:after="0" w:line="194" w:lineRule="exact"/>
        <w:rPr>
          <w:sz w:val="20"/>
          <w:szCs w:val="20"/>
          <w:color w:val="auto"/>
        </w:rPr>
      </w:pPr>
    </w:p>
    <w:p>
      <w:pPr>
        <w:ind w:left="5460" w:right="1560" w:hanging="5445"/>
        <w:spacing w:after="0" w:line="282" w:lineRule="auto"/>
        <w:rPr>
          <w:sz w:val="20"/>
          <w:szCs w:val="20"/>
          <w:color w:val="auto"/>
        </w:rPr>
      </w:pPr>
      <w:r>
        <w:rPr>
          <w:rFonts w:ascii="Times New Roman" w:cs="Times New Roman" w:eastAsia="Times New Roman" w:hAnsi="Times New Roman"/>
          <w:sz w:val="18"/>
          <w:szCs w:val="18"/>
          <w:color w:val="auto"/>
        </w:rPr>
        <w:t>Pursuant to the CP BF Letter Agreement, the parties agreed to use an agreed-upon portion of other debt to partially prepay the balance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4" w:name="page115"/>
    <w:bookmarkEnd w:id="114"/>
    <w:p>
      <w:pPr>
        <w:jc w:val="both"/>
        <w:spacing w:after="0" w:line="255" w:lineRule="auto"/>
        <w:rPr>
          <w:sz w:val="20"/>
          <w:szCs w:val="20"/>
          <w:color w:val="auto"/>
        </w:rPr>
      </w:pPr>
      <w:r>
        <w:rPr>
          <w:rFonts w:ascii="Times New Roman" w:cs="Times New Roman" w:eastAsia="Times New Roman" w:hAnsi="Times New Roman"/>
          <w:sz w:val="18"/>
          <w:szCs w:val="18"/>
          <w:color w:val="auto"/>
        </w:rPr>
        <w:t>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failure to comply with the Letter Agreement shall constitute an Event of Default under the Loan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CP BF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17, 2025 and December 31, 2025, CP BF exercised its optional conversion option multiple times and received an aggregate of 62,700 shares of Class A Common Stock at conversion prices per share ranging from $2.71 to $2.75 in satisfaction of $165,461 of the Company's obligations under the 2024 CP BF Convertible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carried at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Agile Term Notes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$787,500 and received net proceeds of $750,000, after administrative agent fees of $37,500 paid to Agile Funding, with a maturity date of February 5, 2025. The July Agile Note bears interest at a rate of 42%.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$262,500 and received net proceeds of $250,000, after administrative agent fees of $12,500 paid to Agile Funding, with a maturity date of March 3, 2025. The September Agile Note bears interest at a rate of 48%.</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$2,400,000 and received net proceeds of $1,782,438, after administrative agent fees of $120,000 paid to Agile Funding, and net of payments to Agile of $319,500 and $178,063 in respect to early prepayment of the remaining outstanding balances of the July Agile Note and September Agile Note. The December Agile Note has a maturity date of July 10,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$4,000,000 and received net proceeds of $2,044,105, after administrative agent fees of $200,000 paid to Agile Funding, and net of payments to Agile of $1,755,895 in respect to early prepayment of the remaining outstanding balances of the December Agile Note. The March Agile Note has a maturity date of November 12,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2025, the Company issued a subordinated secured promissory note (the “June Agile Note”) for an aggregate principal amount of $262,500 and received net proceeds of $250,000, after administrative agent fees $12,500 paid to Agile Funding. The June Agile note has a maturity date of December 15, 2025 and bears interest at a rate of 48%.</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5" w:name="page116"/>
    <w:bookmarkEnd w:id="115"/>
    <w:p>
      <w:pPr>
        <w:jc w:val="both"/>
        <w:spacing w:after="0" w:line="253" w:lineRule="auto"/>
        <w:rPr>
          <w:sz w:val="20"/>
          <w:szCs w:val="20"/>
          <w:color w:val="auto"/>
        </w:rPr>
      </w:pPr>
      <w:r>
        <w:rPr>
          <w:rFonts w:ascii="Times New Roman" w:cs="Times New Roman" w:eastAsia="Times New Roman" w:hAnsi="Times New Roman"/>
          <w:sz w:val="18"/>
          <w:szCs w:val="18"/>
          <w:color w:val="auto"/>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 7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issuance of the March Agile Note, the Company entered into a series of exchange and forbearance arrangements with Agile and Agile Funding, relating to the outstanding balance of the March Agile Note.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11, 2025, the remaining principal and accrued and unpaid interest under the March Agile Note was approximately $1,495,375.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$2,123,432.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$632,837.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2025, the Company entered into an exchange agreement with Agile pursuant to which the Company issued 232,786 shares of its Class A common stock in exchange for a reduction of $284,000 in the outstanding balance of the March Agile Note. Following this exchange, the outstanding balance of the March Agile Note was reduced to approximately $1,839,432.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Agile Notes totaled $2,727,280 and $100,095 for the year ended December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presents the Agile Notes for the year ended December 31, 2025:</w:t>
            </w:r>
          </w:p>
        </w:tc>
        <w:tc>
          <w:tcPr>
            <w:tcW w:w="4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32"/>
        </w:trPr>
        <w:tc>
          <w:tcPr>
            <w:tcW w:w="8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Agile Term Notes</w:t>
            </w:r>
          </w:p>
        </w:tc>
      </w:tr>
      <w:tr>
        <w:trPr>
          <w:trHeight w:val="210"/>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40" w:type="dxa"/>
            <w:vAlign w:val="bottom"/>
            <w:shd w:val="clear" w:color="auto" w:fill="CFF0FC"/>
          </w:tcPr>
          <w:p>
            <w:pPr>
              <w:spacing w:after="0"/>
              <w:rPr>
                <w:sz w:val="18"/>
                <w:szCs w:val="18"/>
                <w:color w:val="auto"/>
              </w:rPr>
            </w:pPr>
          </w:p>
        </w:tc>
        <w:tc>
          <w:tcPr>
            <w:tcW w:w="2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3,143,000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Agile term notes</w:t>
            </w:r>
          </w:p>
        </w:tc>
        <w:tc>
          <w:tcPr>
            <w:tcW w:w="440" w:type="dxa"/>
            <w:vAlign w:val="bottom"/>
          </w:tcPr>
          <w:p>
            <w:pPr>
              <w:spacing w:after="0"/>
              <w:rPr>
                <w:sz w:val="18"/>
                <w:szCs w:val="18"/>
                <w:color w:val="auto"/>
              </w:rPr>
            </w:pPr>
          </w:p>
        </w:tc>
        <w:tc>
          <w:tcPr>
            <w:tcW w:w="2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4,262,500</w:t>
            </w: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issuance</w:t>
            </w:r>
          </w:p>
        </w:tc>
        <w:tc>
          <w:tcPr>
            <w:tcW w:w="440" w:type="dxa"/>
            <w:vAlign w:val="bottom"/>
            <w:shd w:val="clear" w:color="auto" w:fill="CFF0FC"/>
          </w:tcPr>
          <w:p>
            <w:pPr>
              <w:spacing w:after="0"/>
              <w:rPr>
                <w:sz w:val="18"/>
                <w:szCs w:val="18"/>
                <w:color w:val="auto"/>
              </w:rPr>
            </w:pPr>
          </w:p>
        </w:tc>
        <w:tc>
          <w:tcPr>
            <w:tcW w:w="2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110,500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440" w:type="dxa"/>
            <w:vAlign w:val="bottom"/>
          </w:tcPr>
          <w:p>
            <w:pPr>
              <w:spacing w:after="0"/>
              <w:rPr>
                <w:sz w:val="18"/>
                <w:szCs w:val="18"/>
                <w:color w:val="auto"/>
              </w:rPr>
            </w:pPr>
          </w:p>
        </w:tc>
        <w:tc>
          <w:tcPr>
            <w:tcW w:w="2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2,402,732</w:t>
            </w: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440" w:type="dxa"/>
            <w:vAlign w:val="bottom"/>
            <w:shd w:val="clear" w:color="auto" w:fill="CFF0FC"/>
          </w:tcPr>
          <w:p>
            <w:pPr>
              <w:spacing w:after="0"/>
              <w:rPr>
                <w:sz w:val="18"/>
                <w:szCs w:val="18"/>
                <w:color w:val="auto"/>
              </w:rPr>
            </w:pPr>
          </w:p>
        </w:tc>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(8,079,300)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4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(284,000)</w:t>
            </w:r>
          </w:p>
        </w:tc>
      </w:tr>
      <w:tr>
        <w:trPr>
          <w:trHeight w:val="216"/>
        </w:trPr>
        <w:tc>
          <w:tcPr>
            <w:tcW w:w="8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Borders>
              <w:bottom w:val="single" w:sz="8" w:color="auto"/>
            </w:tcBorders>
            <w:shd w:val="clear" w:color="auto" w:fill="CFF0FC"/>
          </w:tcPr>
          <w:p>
            <w:pPr>
              <w:spacing w:after="0"/>
              <w:rPr>
                <w:sz w:val="18"/>
                <w:szCs w:val="18"/>
                <w:color w:val="auto"/>
              </w:rPr>
            </w:pPr>
          </w:p>
        </w:tc>
        <w:tc>
          <w:tcPr>
            <w:tcW w:w="2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173,055</w:t>
            </w: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1,728,487</w:t>
            </w:r>
          </w:p>
        </w:tc>
      </w:tr>
      <w:tr>
        <w:trPr>
          <w:trHeight w:val="20"/>
        </w:trPr>
        <w:tc>
          <w:tcPr>
            <w:tcW w:w="8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197"/>
        </w:trPr>
        <w:tc>
          <w:tcPr>
            <w:tcW w:w="8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1,839,433</w:t>
            </w: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Convertible Notes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and issued a promissory note (the “August 1800 Diagonal Note”)</w:t>
      </w: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6" w:name="page117"/>
    <w:bookmarkEnd w:id="116"/>
    <w:p>
      <w:pPr>
        <w:jc w:val="both"/>
        <w:spacing w:after="0" w:line="261" w:lineRule="auto"/>
        <w:rPr>
          <w:sz w:val="20"/>
          <w:szCs w:val="20"/>
          <w:color w:val="auto"/>
        </w:rPr>
      </w:pPr>
      <w:r>
        <w:rPr>
          <w:rFonts w:ascii="Times New Roman" w:cs="Times New Roman" w:eastAsia="Times New Roman" w:hAnsi="Times New Roman"/>
          <w:sz w:val="18"/>
          <w:szCs w:val="18"/>
          <w:color w:val="auto"/>
        </w:rPr>
        <w:t>for an aggregate principal amount of $184,000 and received net proceeds of $152,000, after an original issue discount of $24,000 and issuance costs of $8,000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net proceeds of $100,000, after an original discount of $16,200 and issuance costs of $8,000 for due diligence and legal fees. The September 1800 Diagonal Note has a maturity date of July 30, 2025 and bears interest at 12% per annum. On July 23, 2025, the Company exercised its conversion option under the September 1800 Diagonal Note. On the conversion date, the September 1800 Diagonal Note had a fair value of $17,000 and converted into 7,034 shares of the Company's Class A Common Stock in satisfaction of $17,388 of the Company's obligations under the September 1800 Diagonal Note.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$124,200 and received net proceeds of $100,000, after an original discount of $16,200 and issuance costs of $8,000 for due diligence and legal fees. The December 1800 Diagonal Note has a maturity date of October 15, 2025 and bears interest at 12% per annum. On July 22, 2025, the Company exercised its conversion option under the December 1800 Diagonal Note. On the conversion date, the December 1800 Diagonal Note had a fair value of $58,000 and converted into 19,986 shares of the Company's Class A Common Stock in satisfaction of $52,164 of the Company's obligations under the December 1800 Diagonal Note.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7, 2025, the Company issued a fourth promissory note (the “February 1800 Diagonal Note”) for an aggregate principal amount of $124,200 and received net proceeds of $100,000, after an original discount of $16,200 and issuance costs of $8,000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$80,700 and converted into 32,780 shares of the Company's Class A Common Stock in satisfaction of $69,552 of the Company's obligations under the February 1800 Diagonal Note.</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17, 2025, the Company issued a fifth promissory note (the “April 1800 Diagonal Note”) for an aggregate principal amount of $230,000 and received net proceeds of $192,000, after an original discount of $30,000 and issuance costs of $8,000 for due diligence and legal fees. The April 1800 Diagonal Note has a maturity date of February 15, 2026 and bears interest at 12% per annum.</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Between October 21, 2025 and October 27, 2025, the Lender exercised its conversion option multiple times under the April 1800 Diagonal Note and received an aggregate of 140,293 shares of Class A Common Stock at conversion prices per share ranging from $1.69 to $2.06 in full satisfaction of the Company's remaining obligations under the April 1800 Diagonal Note totaling $265,100.</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9, 2025, the Company issued a sixth promissory note (the “May 1800 Diagonal Note”) for an aggregate principal amount of $163,300 and received net proceeds of $135,000, after an original discount of $21,300 and issuance costs of $7,000 for due diligence and legal fees. The May 1800 Diagonal Note has a maturity date of February 15, 2026 and bears interest at 12% per annum.</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issued a seventh promissory note (the “July 1800 Diagonal Note”) for an aggregate principal amount of $295,550 and received net proceeds of $250,000, after an original discount of $38,550 and issuance costs of $7,000 for due diligence and legal fees. The July 1800 Diagonal Note has a maturity date of May 30, 2026 and bears interest at 12% per annum.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2025, the Company issued an eighth promissory note (the “September 2025 1800 Diagonal Note”) for an aggregate principal amount of $151,800 and received net proceeds of $125,000, after an original discount of $19,800 and issuance costs of $7,000 for due diligence and legal fees. The September 2025 1800 Diagonal Note has a maturity date of June 15, 2026 and bears interest at 14% per annum.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2025, the Company issued a ninth promissory note (the “November 1800 Diagonal Note”) for an aggregate principal amount of $238,050 and received net proceeds of $200,000, after an original discount of $31,050 and issuance costs of $7,000 for due diligence and legal fees. The November 1800 Diagonal Note has a maturity date of July 30, 2026 and bears interest at 14% per annum.</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7" w:name="page118"/>
    <w:bookmarkEnd w:id="117"/>
    <w:p>
      <w:pPr>
        <w:jc w:val="both"/>
        <w:spacing w:after="0" w:line="261" w:lineRule="auto"/>
        <w:rPr>
          <w:sz w:val="20"/>
          <w:szCs w:val="20"/>
          <w:color w:val="auto"/>
        </w:rPr>
      </w:pPr>
      <w:r>
        <w:rPr>
          <w:rFonts w:ascii="Times New Roman" w:cs="Times New Roman" w:eastAsia="Times New Roman" w:hAnsi="Times New Roman"/>
          <w:sz w:val="18"/>
          <w:szCs w:val="18"/>
          <w:color w:val="auto"/>
        </w:rPr>
        <w:t>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 – Fair Value Measurements.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1800 Diagonal Notes totaled approximately $306,696 and $100,095 for the year ended December 31, 2025 and 2024,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1800 Diagonal Notes year ended December 31, 2025:</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05"/>
        </w:trPr>
        <w:tc>
          <w:tcPr>
            <w:tcW w:w="7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1800 Diagonal</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432,000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1,297,200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140,215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(615,457)</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(457,493)</w:t>
            </w:r>
          </w:p>
        </w:tc>
      </w:tr>
      <w:tr>
        <w:trPr>
          <w:trHeight w:val="22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746,987</w:t>
            </w: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721,938</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71,015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 w:cs="Times New Roman" w:eastAsia="Times New Roman" w:hAnsi="Times New Roman"/>
          <w:sz w:val="18"/>
          <w:szCs w:val="18"/>
          <w:i w:val="1"/>
          <w:iCs w:val="1"/>
          <w:color w:val="212529"/>
        </w:rPr>
        <w:t>Note 15 – Equity</w:t>
      </w:r>
      <w:r>
        <w:rPr>
          <w:rFonts w:ascii="Times New Roman" w:cs="Times New Roman" w:eastAsia="Times New Roman" w:hAnsi="Times New Roman"/>
          <w:sz w:val="18"/>
          <w:szCs w:val="18"/>
          <w:color w:val="212529"/>
        </w:rPr>
        <w:t>, for further description of the Warrants issued in the Private Placement Offering.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212529"/>
        </w:rPr>
        <w:t>Private Placement Offering: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Private Placement Notes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40" w:type="dxa"/>
            <w:vAlign w:val="bottom"/>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Initial Buyer</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Buyer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Issued by</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Received by</w:t>
            </w:r>
          </w:p>
        </w:tc>
        <w:tc>
          <w:tcPr>
            <w:tcW w:w="10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2"/>
                <w:szCs w:val="12"/>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 Issued by</w:t>
            </w:r>
          </w:p>
        </w:tc>
        <w:tc>
          <w:tcPr>
            <w:tcW w:w="100" w:type="dxa"/>
            <w:vAlign w:val="bottom"/>
          </w:tcPr>
          <w:p>
            <w:pPr>
              <w:spacing w:after="0"/>
              <w:rPr>
                <w:sz w:val="12"/>
                <w:szCs w:val="12"/>
                <w:color w:val="auto"/>
              </w:rPr>
            </w:pPr>
          </w:p>
        </w:tc>
        <w:tc>
          <w:tcPr>
            <w:tcW w:w="94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8"/>
        </w:trPr>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Closing Date</w:t>
            </w: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00" w:type="dxa"/>
            <w:vAlign w:val="bottom"/>
          </w:tcPr>
          <w:p>
            <w:pPr>
              <w:spacing w:after="0"/>
              <w:rPr>
                <w:sz w:val="12"/>
                <w:szCs w:val="12"/>
                <w:color w:val="auto"/>
              </w:rPr>
            </w:pPr>
          </w:p>
        </w:tc>
        <w:tc>
          <w:tcPr>
            <w:tcW w:w="900" w:type="dxa"/>
            <w:vAlign w:val="bottom"/>
            <w:gridSpan w:val="2"/>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Floor Price</w:t>
            </w: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Issued by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73"/>
        </w:trPr>
        <w:tc>
          <w:tcPr>
            <w:tcW w:w="1280" w:type="dxa"/>
            <w:vAlign w:val="bottom"/>
            <w:gridSpan w:val="2"/>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the Note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the Note</w:t>
            </w:r>
          </w:p>
        </w:tc>
        <w:tc>
          <w:tcPr>
            <w:tcW w:w="100" w:type="dxa"/>
            <w:vAlign w:val="bottom"/>
          </w:tcPr>
          <w:p>
            <w:pPr>
              <w:spacing w:after="0"/>
              <w:rPr>
                <w:sz w:val="15"/>
                <w:szCs w:val="15"/>
                <w:color w:val="auto"/>
              </w:rPr>
            </w:pPr>
          </w:p>
        </w:tc>
        <w:tc>
          <w:tcPr>
            <w:tcW w:w="900" w:type="dxa"/>
            <w:vAlign w:val="bottom"/>
            <w:gridSpan w:val="2"/>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90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00" w:type="dxa"/>
            <w:vAlign w:val="bottom"/>
          </w:tcPr>
          <w:p>
            <w:pPr>
              <w:spacing w:after="0"/>
              <w:rPr>
                <w:sz w:val="15"/>
                <w:szCs w:val="15"/>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1"/>
        </w:trPr>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jc w:val="right"/>
              <w:ind w:right="54"/>
              <w:spacing w:after="0" w:line="191" w:lineRule="exact"/>
              <w:rPr>
                <w:sz w:val="20"/>
                <w:szCs w:val="20"/>
                <w:color w:val="auto"/>
              </w:rPr>
            </w:pPr>
            <w:r>
              <w:rPr>
                <w:rFonts w:ascii="Times New Roman" w:cs="Times New Roman" w:eastAsia="Times New Roman" w:hAnsi="Times New Roman"/>
                <w:sz w:val="18"/>
                <w:szCs w:val="18"/>
                <w:color w:val="auto"/>
              </w:rPr>
              <w:t>2,200,00</w:t>
            </w: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jc w:val="right"/>
              <w:ind w:right="55"/>
              <w:spacing w:after="0" w:line="191" w:lineRule="exact"/>
              <w:rPr>
                <w:sz w:val="20"/>
                <w:szCs w:val="20"/>
                <w:color w:val="auto"/>
              </w:rPr>
            </w:pPr>
            <w:r>
              <w:rPr>
                <w:rFonts w:ascii="Times New Roman" w:cs="Times New Roman" w:eastAsia="Times New Roman" w:hAnsi="Times New Roman"/>
                <w:sz w:val="18"/>
                <w:szCs w:val="18"/>
                <w:color w:val="auto"/>
              </w:rPr>
              <w:t>1,725,00</w:t>
            </w: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3i Note</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Warrant</w:t>
            </w:r>
          </w:p>
        </w:tc>
        <w:tc>
          <w:tcPr>
            <w:tcW w:w="10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67,124</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8"/>
        </w:trPr>
        <w:tc>
          <w:tcPr>
            <w:tcW w:w="1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August 19,</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September 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4"/>
              <w:spacing w:after="0" w:line="198" w:lineRule="exact"/>
              <w:rPr>
                <w:sz w:val="20"/>
                <w:szCs w:val="20"/>
                <w:color w:val="auto"/>
              </w:rPr>
            </w:pPr>
            <w:r>
              <w:rPr>
                <w:rFonts w:ascii="Times New Roman" w:cs="Times New Roman" w:eastAsia="Times New Roman" w:hAnsi="Times New Roman"/>
                <w:sz w:val="18"/>
                <w:szCs w:val="18"/>
                <w:color w:val="auto"/>
              </w:rPr>
              <w:t>2,200,00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1,762,00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August 3i Note</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August Warrant</w:t>
            </w:r>
          </w:p>
        </w:tc>
        <w:tc>
          <w:tcPr>
            <w:tcW w:w="10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126,107</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8"/>
        </w:trPr>
        <w:tc>
          <w:tcPr>
            <w:tcW w:w="12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October 8,</w:t>
            </w: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October 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4"/>
              <w:spacing w:after="0" w:line="198" w:lineRule="exact"/>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2,010,90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3i Note</w:t>
            </w:r>
          </w:p>
        </w:tc>
        <w:tc>
          <w:tcPr>
            <w:tcW w:w="1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Warrant</w:t>
            </w:r>
          </w:p>
        </w:tc>
        <w:tc>
          <w:tcPr>
            <w:tcW w:w="104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87"/>
        </w:trPr>
        <w:tc>
          <w:tcPr>
            <w:tcW w:w="11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2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8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54"/>
              <w:spacing w:after="0" w:line="188" w:lineRule="exact"/>
              <w:rPr>
                <w:sz w:val="20"/>
                <w:szCs w:val="20"/>
                <w:color w:val="auto"/>
              </w:rPr>
            </w:pPr>
            <w:r>
              <w:rPr>
                <w:rFonts w:ascii="Times New Roman" w:cs="Times New Roman" w:eastAsia="Times New Roman" w:hAnsi="Times New Roman"/>
                <w:sz w:val="18"/>
                <w:szCs w:val="18"/>
                <w:b w:val="1"/>
                <w:bCs w:val="1"/>
                <w:color w:val="auto"/>
              </w:rPr>
              <w:t>6,900,00</w:t>
            </w: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55"/>
              <w:spacing w:after="0" w:line="188" w:lineRule="exact"/>
              <w:rPr>
                <w:sz w:val="20"/>
                <w:szCs w:val="20"/>
                <w:color w:val="auto"/>
              </w:rPr>
            </w:pPr>
            <w:r>
              <w:rPr>
                <w:rFonts w:ascii="Times New Roman" w:cs="Times New Roman" w:eastAsia="Times New Roman" w:hAnsi="Times New Roman"/>
                <w:sz w:val="18"/>
                <w:szCs w:val="18"/>
                <w:b w:val="1"/>
                <w:bCs w:val="1"/>
                <w:color w:val="auto"/>
              </w:rPr>
              <w:t>5,497,90</w:t>
            </w: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8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393,231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-307975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-307975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-307975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Private Placement Notes were issued with an original issue discount of 10.0% and accrue interest at a rate of 10.0% per annum.</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12529"/>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August 12, 2025 and October 22, 2025, the Buyer exercised its contractual conversion options multiple times under the June 3i Note and received an aggregate of 616,450 shares of Class A Common Stock at conversion prices per share ranging from $1.91 to $2.58 in full satisfaction of the Company's remaining obligations under the June 3i Note totaling $1,419,698.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September 10, 2025 and October 14, 2025, the Buyer exercised its contractual conversion option multiple times under the August 3i Note and received an aggregate of 617,656 shares of Class A Common Stock at conversion prices per share ranging from $1.91 to $2.42 in satisfaction of $1,411,667 of the Company's obligations under the August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16, 2025 and December 11, 2025, the Buyer exercised its contractual conversion option multiple times under the October 3i Note and received an aggregate of 1,331,675 shares of Class A Common Stock at conversion prices per share ranging from $1.03 to $2.50 in satisfaction of $1,676,667 of the Company's obligations under the October 3i Note.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Private Placement Convertible Notes totaled approximately $1,193,231 for the year ending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Private Placement Convertible Notes as of December 31, 2025:</w:t>
            </w: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7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3i, LP Notes</w:t>
            </w:r>
          </w:p>
        </w:tc>
      </w:tr>
      <w:tr>
        <w:trPr>
          <w:trHeight w:val="21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Private Placement Convertible Notes</w:t>
            </w: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6,450,000</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3,349,000</w:t>
            </w: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(1,291,516)</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(2,308,368)</w:t>
            </w:r>
          </w:p>
        </w:tc>
      </w:tr>
      <w:tr>
        <w:trPr>
          <w:trHeight w:val="216"/>
        </w:trPr>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Conversions</w:t>
            </w:r>
          </w:p>
        </w:tc>
        <w:tc>
          <w:tcPr>
            <w:tcW w:w="9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(4,343,116)</w:t>
            </w: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1,856,000</w:t>
            </w:r>
          </w:p>
        </w:tc>
      </w:tr>
      <w:tr>
        <w:trPr>
          <w:trHeight w:val="20"/>
        </w:trPr>
        <w:tc>
          <w:tcPr>
            <w:tcW w:w="7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6"/>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1,709,091</w:t>
            </w:r>
          </w:p>
        </w:tc>
      </w:t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170,909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Boot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2025, the Company issued a first promissory note (the “Boot Capital Note”) for an aggregate principal amount of $115,000 and received $100,000 of proceeds, net of an original discount of $15,000,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Boot Capital Note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Due to these embedded features, the Company elected to account for the Boot Capital Note at fair value pursuant to ASC 825. For further discussion of fair value, see </w:t>
      </w:r>
      <w:r>
        <w:rPr>
          <w:rFonts w:ascii="Times New Roman" w:cs="Times New Roman" w:eastAsia="Times New Roman" w:hAnsi="Times New Roman"/>
          <w:sz w:val="18"/>
          <w:szCs w:val="18"/>
          <w:i w:val="1"/>
          <w:iCs w:val="1"/>
          <w:color w:val="auto"/>
        </w:rPr>
        <w:t>Note 7 – Fair Value Measurements.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6"/>
        </w:trPr>
        <w:tc>
          <w:tcPr>
            <w:tcW w:w="8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Boot Capital Convertible Notes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2"/>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Private Placement Convertible Notes as of December 31, 2025:</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2"/>
        </w:trPr>
        <w:tc>
          <w:tcPr>
            <w:tcW w:w="8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Boot Capital</w:t>
            </w:r>
          </w:p>
        </w:tc>
      </w:tr>
      <w:tr>
        <w:trPr>
          <w:trHeight w:val="209"/>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12,611</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115,836</w:t>
            </w:r>
          </w:p>
        </w:tc>
      </w:tr>
      <w:tr>
        <w:trPr>
          <w:trHeight w:val="20"/>
        </w:trPr>
        <w:tc>
          <w:tcPr>
            <w:tcW w:w="8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Warrant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Public Warrants in the Merger, exercisable into 23,000 shares of Common Stock of the Company, and which remained outstanding as of December 31, 2025. The Public Warrants have an exercise price of $5,750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$9,000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85"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$5.00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$9,000 per share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Warrants—Anti-dilution Adjustments</w:t>
      </w:r>
      <w:r>
        <w:rPr>
          <w:rFonts w:ascii="Times New Roman" w:cs="Times New Roman" w:eastAsia="Times New Roman" w:hAnsi="Times New Roman"/>
          <w:sz w:val="18"/>
          <w:szCs w:val="18"/>
          <w:color w:val="auto"/>
        </w:rPr>
        <w:t>” in the Resale Registration Statement) for any 20 trading days within a 30-trading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21" w:name="page122"/>
    <w:bookmarkEnd w:id="121"/>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 redemption trigger price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—Warrants—Public Stockholder Warrants—Anti-dilution Adjustments</w:t>
      </w:r>
      <w:r>
        <w:rPr>
          <w:rFonts w:ascii="Times New Roman" w:cs="Times New Roman" w:eastAsia="Times New Roman" w:hAnsi="Times New Roman"/>
          <w:sz w:val="18"/>
          <w:szCs w:val="18"/>
          <w:color w:val="auto"/>
        </w:rPr>
        <w:t>” in the Resale Registration Statement as well as the $5,750 (for whole shares) Public Warrant exercise price after the redemption notice is issued.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1,657 shares at an exercise price of $3,245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$18.30. The effect of the change in strike price feature being triggered resulted in a change of value of approximately $15,000 which is recorded in the statement of operations line change in fair value of warrant liability.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Offering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Private Placement Convertible Notes,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cs="Times New Roman" w:eastAsia="Times New Roman" w:hAnsi="Times New Roman"/>
          <w:sz w:val="18"/>
          <w:szCs w:val="18"/>
          <w:i w:val="1"/>
          <w:iCs w:val="1"/>
          <w:color w:val="auto"/>
        </w:rPr>
        <w:t>Note 7 – Fair Value Measurements.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existing lease contains an escalation clause and a renewal option. The Company is not reasonably certain that the renewal option will be exercised upon expiration of the initial terms of its existing lease.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a sublease which it has identified as an operating lease prior to the adoption of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2025 and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4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FF0FC"/>
          </w:tcPr>
          <w:p>
            <w:pPr>
              <w:spacing w:after="0"/>
              <w:rPr>
                <w:sz w:val="18"/>
                <w:szCs w:val="18"/>
                <w:color w:val="auto"/>
              </w:rPr>
            </w:pPr>
          </w:p>
        </w:tc>
        <w:tc>
          <w:tcPr>
            <w:tcW w:w="4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145,674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(117,084)</w:t>
            </w: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(income) expense</w:t>
            </w:r>
          </w:p>
        </w:tc>
        <w:tc>
          <w:tcPr>
            <w:tcW w:w="24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FF0FC"/>
          </w:tcPr>
          <w:p>
            <w:pPr>
              <w:spacing w:after="0"/>
              <w:rPr>
                <w:sz w:val="21"/>
                <w:szCs w:val="21"/>
                <w:color w:val="auto"/>
              </w:rPr>
            </w:pPr>
          </w:p>
        </w:tc>
        <w:tc>
          <w:tcPr>
            <w:tcW w:w="4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28,590</w:t>
            </w:r>
          </w:p>
        </w:tc>
        <w:tc>
          <w:tcPr>
            <w:tcW w:w="0" w:type="dxa"/>
            <w:vAlign w:val="bottom"/>
          </w:tcPr>
          <w:p>
            <w:pPr>
              <w:spacing w:after="0"/>
              <w:rPr>
                <w:sz w:val="1"/>
                <w:szCs w:val="1"/>
                <w:color w:val="auto"/>
              </w:rPr>
            </w:pPr>
          </w:p>
        </w:tc>
      </w:tr>
      <w:tr>
        <w:trPr>
          <w:trHeight w:val="413"/>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19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24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80" w:type="dxa"/>
            <w:vAlign w:val="bottom"/>
          </w:tcPr>
          <w:p>
            <w:pPr>
              <w:spacing w:after="0"/>
              <w:rPr>
                <w:sz w:val="18"/>
                <w:szCs w:val="18"/>
                <w:color w:val="auto"/>
              </w:rPr>
            </w:pPr>
          </w:p>
        </w:tc>
        <w:tc>
          <w:tcPr>
            <w:tcW w:w="4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137,717</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(23,280)</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(237,607)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24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80" w:type="dxa"/>
            <w:vAlign w:val="bottom"/>
            <w:shd w:val="clear" w:color="auto" w:fill="CFF0FC"/>
          </w:tcPr>
          <w:p>
            <w:pPr>
              <w:spacing w:after="0"/>
              <w:rPr>
                <w:sz w:val="18"/>
                <w:szCs w:val="18"/>
                <w:color w:val="auto"/>
              </w:rPr>
            </w:pPr>
          </w:p>
        </w:tc>
        <w:tc>
          <w:tcPr>
            <w:tcW w:w="4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76,269</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55,871</w:t>
            </w:r>
          </w:p>
        </w:tc>
        <w:tc>
          <w:tcPr>
            <w:tcW w:w="80" w:type="dxa"/>
            <w:vAlign w:val="bottom"/>
            <w:shd w:val="clear" w:color="auto" w:fill="CFF0FC"/>
          </w:tcPr>
          <w:p>
            <w:pPr>
              <w:spacing w:after="0"/>
              <w:rPr>
                <w:sz w:val="18"/>
                <w:szCs w:val="18"/>
                <w:color w:val="auto"/>
              </w:rPr>
            </w:pPr>
          </w:p>
        </w:tc>
        <w:tc>
          <w:tcPr>
            <w:tcW w:w="4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72,565</w:t>
            </w:r>
          </w:p>
        </w:tc>
        <w:tc>
          <w:tcPr>
            <w:tcW w:w="0" w:type="dxa"/>
            <w:vAlign w:val="bottom"/>
          </w:tcPr>
          <w:p>
            <w:pPr>
              <w:spacing w:after="0"/>
              <w:rPr>
                <w:sz w:val="1"/>
                <w:szCs w:val="1"/>
                <w:color w:val="auto"/>
              </w:rPr>
            </w:pPr>
          </w:p>
        </w:tc>
      </w:tr>
      <w:tr>
        <w:trPr>
          <w:trHeight w:val="210"/>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9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22,731</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33,922</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49,974</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56,745</w:t>
            </w:r>
          </w:p>
        </w:tc>
        <w:tc>
          <w:tcPr>
            <w:tcW w:w="80" w:type="dxa"/>
            <w:vAlign w:val="bottom"/>
          </w:tcPr>
          <w:p>
            <w:pPr>
              <w:spacing w:after="0"/>
              <w:rPr>
                <w:sz w:val="18"/>
                <w:szCs w:val="18"/>
                <w:color w:val="auto"/>
              </w:rPr>
            </w:pPr>
          </w:p>
        </w:tc>
        <w:tc>
          <w:tcPr>
            <w:tcW w:w="4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72,705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(in years)</w:t>
            </w: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4"/>
                <w:szCs w:val="24"/>
                <w:color w:val="auto"/>
              </w:rPr>
            </w:pPr>
          </w:p>
        </w:tc>
        <w:tc>
          <w:tcPr>
            <w:tcW w:w="2420" w:type="dxa"/>
            <w:vAlign w:val="bottom"/>
            <w:gridSpan w:val="4"/>
          </w:tcPr>
          <w:p>
            <w:pPr>
              <w:jc w:val="right"/>
              <w:ind w:right="1980"/>
              <w:spacing w:after="0"/>
              <w:rPr>
                <w:sz w:val="20"/>
                <w:szCs w:val="20"/>
                <w:color w:val="auto"/>
              </w:rPr>
            </w:pPr>
            <w:r>
              <w:rPr>
                <w:rFonts w:ascii="Times New Roman" w:cs="Times New Roman" w:eastAsia="Times New Roman" w:hAnsi="Times New Roman"/>
                <w:sz w:val="18"/>
                <w:szCs w:val="18"/>
                <w:color w:val="auto"/>
              </w:rPr>
              <w:t>F-44</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-4474210</wp:posOffset>
            </wp:positionV>
            <wp:extent cx="1028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-4457065</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-2219325</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-1936750</wp:posOffset>
            </wp:positionV>
            <wp:extent cx="1028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 as of December 31, 2025, are as follows:</w:t>
            </w: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33,458</w:t>
            </w: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28,235</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9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61,693</w:t>
            </w: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discounting</w:t>
            </w:r>
          </w:p>
        </w:tc>
        <w:tc>
          <w:tcPr>
            <w:tcW w:w="9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56,745</w:t>
            </w:r>
          </w:p>
        </w:tc>
      </w:tr>
      <w:tr>
        <w:trPr>
          <w:trHeight w:val="20"/>
        </w:trPr>
        <w:tc>
          <w:tcPr>
            <w:tcW w:w="83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Relations Consulting Agreement with MZHCI,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2024, the Company entered into an Investor Relations Consulting Agreement (the “Consulting Agreement”) with MZHCI, LLC, a MZ Group Company (“MZHCI”), pursuant to which the Company agreed to issue 2,400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24,000 shares to MZHCI. The shares are exempt from registration pursuant to Section 4(a)(2) of the Securities Act of 1933, as amended, and were issued as restricted stock with an appropriate restrictive legend.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Perkins Coie LLP</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2024, the Company entered into a Repayment Agreement (the “Perkins Repayment Agreement”) where the Company agreed to issue $1,385,000 worth of shares, which the Company shall register no fewer than 46,000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60,000 shares to Perkins to settle part of the outstanding liability balance. During the year ended December 31, 2025, the Company issued 130,000 shares to Perkins to settle the remaining outstanding liability balance.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Cooley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$1.1 million, recognized within gain on extinguishment of liabilities on the consolidated statements of operations for the year ended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Letter with CohnReznick LLP</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4" w:name="page125"/>
    <w:bookmarkEnd w:id="124"/>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The remaining unpaid balance of $577,400 is included in accrued expenses and other current liabilities on the consolidated balance sheets as of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$3.2 million, recognized within gain on extinguishment of liabilities on the consolidated statements of operations for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$85,098 is included in accrued expenses and other current liabilities on the consolidated balance sheets as of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December 31, 2025, the Company had issued 3,000 shares and made aggregate installment payments of $78,437 to Verista. The remaining unpaid balance of $45,785 is included in Accounts Payable on the consolidated balance sheets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to Act-On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contemplated by the Merger Agreement and $882,030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$1,382,030 to Act-On.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Class A Common Stock, Class B Common Stock, Preferred Stock and Series FE Preferred Stock. All classes of stock have a par value of $0.0001 per share. The table below sets forth information about the Company’s equity, as of December 31, 2025:</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09"/>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Preferred Stock</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75,000,000</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Series FE Preferred Stock</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Class A Common Stock</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250,000,000</w:t>
            </w:r>
          </w:p>
        </w:tc>
        <w:tc>
          <w:tcPr>
            <w:tcW w:w="1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10,315,219</w:t>
            </w:r>
          </w:p>
        </w:tc>
        <w:tc>
          <w:tcPr>
            <w:tcW w:w="1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10,315,219</w:t>
            </w: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 B Common Stock</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25,000,000</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231,114</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231,114</w:t>
            </w:r>
          </w:p>
        </w:tc>
      </w:tr>
      <w:tr>
        <w:trPr>
          <w:trHeight w:val="249"/>
        </w:trPr>
        <w:tc>
          <w:tcPr>
            <w:tcW w:w="6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350,000,001</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10,546,333</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10,546,333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02" w:lineRule="exact"/>
        <w:rPr>
          <w:sz w:val="20"/>
          <w:szCs w:val="20"/>
          <w:color w:val="auto"/>
        </w:rPr>
      </w:pPr>
    </w:p>
    <w:p>
      <w:pPr>
        <w:ind w:right="460"/>
        <w:spacing w:after="0" w:line="453" w:lineRule="auto"/>
        <w:rPr>
          <w:sz w:val="20"/>
          <w:szCs w:val="20"/>
          <w:color w:val="auto"/>
        </w:rPr>
      </w:pPr>
      <w:r>
        <w:rPr>
          <w:rFonts w:ascii="Times New Roman" w:cs="Times New Roman" w:eastAsia="Times New Roman" w:hAnsi="Times New Roman"/>
          <w:sz w:val="18"/>
          <w:szCs w:val="18"/>
          <w:color w:val="auto"/>
        </w:rPr>
        <w:t xml:space="preserve">The Board has the authority to issue preferred stock and to determine the rights, privileges, preferences, restrictions, and voting rights of those shares. </w:t>
      </w:r>
      <w:r>
        <w:rPr>
          <w:rFonts w:ascii="Times New Roman" w:cs="Times New Roman" w:eastAsia="Times New Roman" w:hAnsi="Times New Roman"/>
          <w:sz w:val="18"/>
          <w:szCs w:val="18"/>
          <w:b w:val="1"/>
          <w:bCs w:val="1"/>
          <w:i w:val="1"/>
          <w:iCs w:val="1"/>
          <w:color w:val="auto"/>
        </w:rPr>
        <w:t>Series FE Preferred Stock</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("SEPA")</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26" w:name="page127"/>
    <w:bookmarkEnd w:id="12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149" w:lineRule="exact"/>
        <w:rPr>
          <w:sz w:val="20"/>
          <w:szCs w:val="20"/>
          <w:color w:val="auto"/>
        </w:rPr>
      </w:pPr>
    </w:p>
    <w:p>
      <w:pPr>
        <w:ind w:left="10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 (“Nasdaq”), subject to certain conditions per the SEPA (the “Option 1 Pricing Period; 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1,420 Class A common stock as payment for the Deferred Fee.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$1,000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$1,000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requested the purchase of a total of 1,266,001 shares of the Company’s Class A common stock in connection with the Option 1 Advances, which Yorkville purchased for a total purchase price of approximately $6,473,887. The Company recognized a loss of approximately $340,850 on the sales, which represents the difference between the fair value of the shares issued and the proceeds received from the sales.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requested the purchase of a total of 1,616,000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$467,656 in the aggregate, the fair values of which represented the intrinsic value of the requested number of shares of Class A common stock on the Advance Notice dates. The Company recognized a loss of approximately $467,656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1,616,000 shares of the Company’s Class A common stock to Yorkville for total proceeds of approximately $11,222,588.</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during the year ended December 31, 2025, the Company settled one Advance Notice subject to the Option 2 Pricing Period issued on December 30, 2024, and accordingly sold 30,489 of the Company’s Class A common stock to Yorkville for proceeds of</w:t>
      </w: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approximately $48,000.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under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$100,000 (excluding any periodic due diligence fees) incurred in connection with entering into the transactions contemplated by the ATM Agreement and has agreed to reimburse Wainwright up to a maximum of $5,000 per Representation Date (as defined in the ATM Agreement) in connection with a new Registration Statement or the filing of the Company’s Annual Report on Form 10-K and $2,500 in connection with each other Representation Date, plus any incidental expense incurred by the Manager in connection therewith.</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31,884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issued 1,816,387 shares under the ATM Agreement for net proceeds of approximately $3,429,257.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Hudson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3, 2025, the Company issued 15,000 restricted shares of its Common Stock, with a determined fair value of $232,500, partially in exchange for the business advisory services outlined in the consulting agreement with Hudson Global Ventures, LLC, a Nevada limited liability company ("Hudson"). On April 25, 2025, July 1, 2025 and September 3, 2025, the Company issued 40,000,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8" w:name="page129"/>
    <w:bookmarkEnd w:id="128"/>
    <w:p>
      <w:pPr>
        <w:jc w:val="both"/>
        <w:spacing w:after="0" w:line="282" w:lineRule="auto"/>
        <w:rPr>
          <w:sz w:val="20"/>
          <w:szCs w:val="20"/>
          <w:color w:val="auto"/>
        </w:rPr>
      </w:pPr>
      <w:r>
        <w:rPr>
          <w:rFonts w:ascii="Times New Roman" w:cs="Times New Roman" w:eastAsia="Times New Roman" w:hAnsi="Times New Roman"/>
          <w:sz w:val="18"/>
          <w:szCs w:val="18"/>
          <w:color w:val="auto"/>
        </w:rPr>
        <w:t>23,600, and 52,000, respectively, restricted shares of its Class A Common Stock to Hudson, in exchange for certain business advisory services as outlined in a consulting agreement with Hudson, executed on April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Verista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On August 26, 2024, the Company issued 3,000 shares of its Common Stock, with a determined fair value of $49,800, in partial settlement of amounts owing to Verista. Refer to </w:t>
      </w:r>
      <w:r>
        <w:rPr>
          <w:rFonts w:ascii="Times New Roman" w:cs="Times New Roman" w:eastAsia="Times New Roman" w:hAnsi="Times New Roman"/>
          <w:sz w:val="18"/>
          <w:szCs w:val="18"/>
          <w:i w:val="1"/>
          <w:iCs w:val="1"/>
          <w:color w:val="auto"/>
        </w:rPr>
        <w:t>Note 14 – Commitments and Contingencies</w:t>
      </w:r>
      <w:r>
        <w:rPr>
          <w:rFonts w:ascii="Times New Roman" w:cs="Times New Roman" w:eastAsia="Times New Roman" w:hAnsi="Times New Roman"/>
          <w:sz w:val="18"/>
          <w:szCs w:val="18"/>
          <w:color w:val="auto"/>
        </w:rPr>
        <w:t xml:space="preserve">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RSU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200,954 RSUs vested into shares of Class A Common Stock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Vidello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disclosed above, on January 31, 2025, the Company closed a previously announced merger with Vidello. As part of the consideration paid to the Vidello Shareholders, the Company issued 89,820 shares of Class A Common Stock, with a determined fair value of $1,661,677. Refer to </w:t>
      </w:r>
      <w:r>
        <w:rPr>
          <w:rFonts w:ascii="Times New Roman" w:cs="Times New Roman" w:eastAsia="Times New Roman" w:hAnsi="Times New Roman"/>
          <w:sz w:val="18"/>
          <w:szCs w:val="18"/>
          <w:i w:val="1"/>
          <w:iCs w:val="1"/>
          <w:color w:val="auto"/>
        </w:rPr>
        <w:t>Note 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pre-funded warrant exercise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On January 7, 2025, the Company issued 4 shares of Class A Common Stock to CP BF, resulting from the exercise by CP BF of exercise of four (4) pre-funded warrants under the CP BF Pre-Funded Warrant. See </w:t>
      </w:r>
      <w:r>
        <w:rPr>
          <w:rFonts w:ascii="Times New Roman" w:cs="Times New Roman" w:eastAsia="Times New Roman" w:hAnsi="Times New Roman"/>
          <w:sz w:val="18"/>
          <w:szCs w:val="18"/>
          <w:i w:val="1"/>
          <w:iCs w:val="1"/>
          <w:color w:val="auto"/>
        </w:rPr>
        <w:t>Note 13 – Warrant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104,882 shares of Class A Common Stock to Alco, resulting from the exercise by Alco of pre-funded warrants purchased during September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26., 2025, the Company issued 1,176,628 shares of Class A Common Stock to FE IV Aggregator, resulting from the exercise by FE IV Aggregator of Pre-Funded Warrants held by FE Aggregator as part of the OpenReel Merger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31,885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adopted the 2023 Employee Stock Purchase Plan (the "ESPP"). The ESPP permits eligible employees of the Company and certain designated companies as determined by the Board, to purchase shares of the Company's Common Stock. The aggregate number of shares of common stock that may be purchased pursuant to the Purchase Plan automatically increases on January 1 of each year ending on January 1, 2033, in an amount equal to the lesser of one percent (1%) of the total number of shares of the fully diluted common stock (as defined in the ESPP) determined as of December 31 of the preceding year, or a number of shares of common stock equal to two hundred percent (200%) of the initial share reserve of 1,144.</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the Company adopted the 2023 Equity Incentive Plan (the “EIP”). The EIP permits the granting of incentive stock options, nonstatutory stock options, SARs, restricted stock awards, RSU awards, performance awards, and other awards. to employees, directors, and consultants. The aggregate number of shares of common stock that may be issued under the EIP automatically increases on January 1 of each year ending on January 1, 2033, in an amount equal to 5% of the total number of shares of the fully diluted common stock determined as of December 31 of the preceding year.</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stock-based payments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9" w:name="page130"/>
    <w:bookmarkEnd w:id="129"/>
    <w:p>
      <w:pPr>
        <w:jc w:val="both"/>
        <w:spacing w:after="0" w:line="282" w:lineRule="auto"/>
        <w:rPr>
          <w:sz w:val="20"/>
          <w:szCs w:val="20"/>
          <w:color w:val="auto"/>
        </w:rPr>
      </w:pPr>
      <w:r>
        <w:rPr>
          <w:rFonts w:ascii="Times New Roman" w:cs="Times New Roman" w:eastAsia="Times New Roman" w:hAnsi="Times New Roman"/>
          <w:sz w:val="18"/>
          <w:szCs w:val="18"/>
          <w:color w:val="auto"/>
        </w:rPr>
        <w:t>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assumptions used to compute the fair value of options granted: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9"/>
        </w:trPr>
        <w:tc>
          <w:tcPr>
            <w:tcW w:w="5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5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500" w:type="dxa"/>
            <w:vAlign w:val="bottom"/>
            <w:gridSpan w:val="5"/>
            <w:shd w:val="clear" w:color="auto" w:fill="CFF0FC"/>
          </w:tcPr>
          <w:p>
            <w:pPr>
              <w:jc w:val="right"/>
              <w:ind w:right="11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$146 - 305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$146 - 2,500</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500" w:type="dxa"/>
            <w:vAlign w:val="bottom"/>
            <w:gridSpan w:val="5"/>
            <w:shd w:val="clear" w:color="auto" w:fill="CFF0FC"/>
          </w:tcPr>
          <w:p>
            <w:pPr>
              <w:jc w:val="right"/>
              <w:ind w:right="11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61.00 - 62.12%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5.61 - 6.08</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500" w:type="dxa"/>
            <w:vAlign w:val="bottom"/>
            <w:gridSpan w:val="5"/>
            <w:shd w:val="clear" w:color="auto" w:fill="CFF0FC"/>
          </w:tcPr>
          <w:p>
            <w:pPr>
              <w:jc w:val="right"/>
              <w:ind w:right="11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4.20 - 4.45%</w:t>
            </w:r>
          </w:p>
        </w:tc>
      </w:tr>
      <w:tr>
        <w:trPr>
          <w:trHeight w:val="43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is as follows: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3"/>
        </w:trPr>
        <w:tc>
          <w:tcPr>
            <w:tcW w:w="5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5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5820" w:type="dxa"/>
            <w:vAlign w:val="bottom"/>
          </w:tcPr>
          <w:p>
            <w:pPr>
              <w:spacing w:after="0"/>
              <w:rPr>
                <w:sz w:val="18"/>
                <w:szCs w:val="18"/>
                <w:color w:val="auto"/>
              </w:rPr>
            </w:pPr>
          </w:p>
        </w:tc>
        <w:tc>
          <w:tcPr>
            <w:tcW w:w="13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0" w:type="dxa"/>
            <w:vAlign w:val="bottom"/>
          </w:tcPr>
          <w:p>
            <w:pPr>
              <w:spacing w:after="0"/>
              <w:rPr>
                <w:sz w:val="18"/>
                <w:szCs w:val="18"/>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Term (in years)</w:t>
            </w:r>
          </w:p>
        </w:tc>
        <w:tc>
          <w:tcPr>
            <w:tcW w:w="12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21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2,566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1,618.30</w:t>
            </w:r>
          </w:p>
        </w:tc>
        <w:tc>
          <w:tcPr>
            <w:tcW w:w="1500" w:type="dxa"/>
            <w:vAlign w:val="bottom"/>
            <w:gridSpan w:val="5"/>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10,058</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210.45</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2,479.66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1,700.47</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12,553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343.74</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610.35</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-736600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-736600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-736600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-170815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issuances under the Plan, the Company recorded stock-based compensation expense related to stock options of $107,683 and $130,997, which is included in general and administrative expense for the years ended December 31, 2025 and 2024, respectively. The weighted-average grant-date fair value per option granted during the years ended December 31, 2025 and 2024 was $12 and $85, respectively. As of December 31, 2025 and 2024, $261,467 and $212,936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- 25% will vest quarterly, or (c) one year – 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with respect to, and status of, RSUs during the year ended December 31, 2025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3"/>
        </w:trPr>
        <w:tc>
          <w:tcPr>
            <w:tcW w:w="7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5"/>
        </w:trPr>
        <w:tc>
          <w:tcPr>
            <w:tcW w:w="7700" w:type="dxa"/>
            <w:vAlign w:val="bottom"/>
          </w:tcPr>
          <w:p>
            <w:pPr>
              <w:spacing w:after="0"/>
              <w:rPr>
                <w:sz w:val="18"/>
                <w:szCs w:val="18"/>
                <w:color w:val="auto"/>
              </w:rPr>
            </w:pPr>
          </w:p>
        </w:tc>
        <w:tc>
          <w:tcPr>
            <w:tcW w:w="17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34,078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17.40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595,529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11.91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8.49</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413,902</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028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2025 and December 31, 2024, the Company recorded total stock-based compensation expense related to RSUs of $2,466,707 and $1,034,683, respectively, which is included in general and administrative expense. As of December 31, 2025 and 2024, unrecognized compensation cost related to the grant of RSUs was $2,342,212 and $158,032, respectively. Unvested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outstanding RSUs as of December 31, 2025 and 2024 had a weighted average remaining vesting period of 2.25 and 1.2 years,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Award</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2025, the Board granted an equity award to the Company’s CEO ("CEO Award") that includes a market condition based on specified market capitalization thresholds ranging from $15.0 million to $30.0 million, which result in stock grants ranging from $250 thousand to $750 thousand, up to $2.0 million in the aggregate. The CEO Award is equity-classified and the grant-date fair value was estimated using a Monte Carlo simulation model, using historical volatility as a key input. The Company recognized $104,841 of stock-based compensation expense related to this award for the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loss before income taxes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6"/>
        </w:trPr>
        <w:tc>
          <w:tcPr>
            <w:tcW w:w="5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Components of net loss before income taxes:</w:t>
            </w:r>
          </w:p>
        </w:tc>
        <w:tc>
          <w:tcPr>
            <w:tcW w:w="2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(22,673,927)</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(31,513,389)</w:t>
            </w:r>
          </w:p>
        </w:tc>
      </w:tr>
      <w:tr>
        <w:trPr>
          <w:trHeight w:val="234"/>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242,469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bl>
    <w:p>
      <w:pPr>
        <w:spacing w:after="0" w:line="13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before income taxes after the adoption of ASU 2023-09 for the year ended December 31, 2025 is as follows:</w:t>
      </w: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of Pretax Income</w:t>
            </w: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(4,710,559)</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3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tax rate difference between United Kingdom and United States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9,699</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 Enacted in the Current Period</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18,900</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R&amp;D Credits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3,149,702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Estimates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(602,735)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7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Conversion – 163(l)</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1,528,553</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Adjustments</w:t>
            </w:r>
          </w:p>
        </w:tc>
        <w:tc>
          <w:tcPr>
            <w:tcW w:w="3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293,474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7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388,826</w:t>
            </w:r>
          </w:p>
        </w:tc>
        <w:tc>
          <w:tcPr>
            <w:tcW w:w="12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60,617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7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A reconciliation of the statutory U.S. federal income tax rate to the Company’s effective tax rate for the period ended December 31, 2024 consists of the following:</w:t>
      </w:r>
    </w:p>
    <w:tbl>
      <w:tblPr>
        <w:tblLayout w:type="fixed"/>
        <w:tblInd w:w="0" w:type="dxa"/>
        <w:tblCellMar>
          <w:top w:w="0" w:type="dxa"/>
          <w:left w:w="0" w:type="dxa"/>
          <w:bottom w:w="0" w:type="dxa"/>
          <w:right w:w="0" w:type="dxa"/>
        </w:tblCellMar>
      </w:tblPr>
      <w:tr>
        <w:trPr>
          <w:trHeight w:val="197"/>
        </w:trPr>
        <w:tc>
          <w:tcPr>
            <w:tcW w:w="44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8"/>
                <w:szCs w:val="18"/>
                <w:color w:val="auto"/>
              </w:rPr>
              <w:t>Statutory federal income tax benefit</w:t>
            </w:r>
          </w:p>
        </w:tc>
        <w:tc>
          <w:tcPr>
            <w:tcW w:w="3560" w:type="dxa"/>
            <w:vAlign w:val="bottom"/>
            <w:gridSpan w:val="2"/>
            <w:shd w:val="clear" w:color="auto" w:fill="CFF0FC"/>
          </w:tcPr>
          <w:p>
            <w:pPr>
              <w:jc w:val="right"/>
              <w:ind w:right="29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line="197" w:lineRule="exact"/>
              <w:rPr>
                <w:sz w:val="20"/>
                <w:szCs w:val="20"/>
                <w:color w:val="auto"/>
              </w:rPr>
            </w:pPr>
            <w:r>
              <w:rPr>
                <w:rFonts w:ascii="Times New Roman" w:cs="Times New Roman" w:eastAsia="Times New Roman" w:hAnsi="Times New Roman"/>
                <w:sz w:val="18"/>
                <w:szCs w:val="18"/>
                <w:color w:val="auto"/>
              </w:rPr>
              <w:t>(6,617,812)</w:t>
            </w:r>
          </w:p>
        </w:tc>
        <w:tc>
          <w:tcPr>
            <w:tcW w:w="2000" w:type="dxa"/>
            <w:vAlign w:val="bottom"/>
            <w:gridSpan w:val="2"/>
            <w:shd w:val="clear" w:color="auto" w:fill="CFF0FC"/>
          </w:tcPr>
          <w:p>
            <w:pPr>
              <w:jc w:val="right"/>
              <w:spacing w:after="0" w:line="197" w:lineRule="exact"/>
              <w:rPr>
                <w:sz w:val="20"/>
                <w:szCs w:val="20"/>
                <w:color w:val="auto"/>
              </w:rPr>
            </w:pPr>
            <w:r>
              <w:rPr>
                <w:rFonts w:ascii="Times New Roman" w:cs="Times New Roman" w:eastAsia="Times New Roman" w:hAnsi="Times New Roman"/>
                <w:sz w:val="18"/>
                <w:szCs w:val="18"/>
                <w:color w:val="auto"/>
              </w:rPr>
              <w:t>21.0%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3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(463,682)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2,968,883</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3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16,101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estimates</w:t>
            </w:r>
          </w:p>
        </w:tc>
        <w:tc>
          <w:tcPr>
            <w:tcW w:w="3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(107,489)</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interest – IRC 163(l)</w:t>
            </w:r>
          </w:p>
        </w:tc>
        <w:tc>
          <w:tcPr>
            <w:tcW w:w="3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516,624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transaction/restructuring costs</w:t>
            </w:r>
          </w:p>
        </w:tc>
        <w:tc>
          <w:tcPr>
            <w:tcW w:w="3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conversion and extinguishment</w:t>
            </w:r>
          </w:p>
        </w:tc>
        <w:tc>
          <w:tcPr>
            <w:tcW w:w="3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2,935,747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warrant issuance expense</w:t>
            </w:r>
          </w:p>
        </w:tc>
        <w:tc>
          <w:tcPr>
            <w:tcW w:w="3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612,511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30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139,117</w:t>
            </w:r>
          </w:p>
        </w:tc>
        <w:tc>
          <w:tcPr>
            <w:tcW w:w="12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0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44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356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F-52</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-942340</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The components of income tax provision (benefit)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6"/>
        </w:trPr>
        <w:tc>
          <w:tcPr>
            <w:tcW w:w="5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214,398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current</w:t>
            </w:r>
          </w:p>
        </w:tc>
        <w:tc>
          <w:tcPr>
            <w:tcW w:w="2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214,398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5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(153,781)</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deferred</w:t>
            </w:r>
          </w:p>
        </w:tc>
        <w:tc>
          <w:tcPr>
            <w:tcW w:w="2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(153,781)</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60,617</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r>
        <w:trPr>
          <w:trHeight w:val="385"/>
        </w:trPr>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amounts of cash income taxes paid (received) by the Company for the year ended December 31, 2025 were as follows: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25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-1156970</wp:posOffset>
            </wp:positionV>
            <wp:extent cx="1028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-864870</wp:posOffset>
            </wp:positionV>
            <wp:extent cx="1028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-848360</wp:posOffset>
            </wp:positionV>
            <wp:extent cx="1028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15,736,074</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12,347,734</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Contribution carryforwards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8,803</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23,718</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175,785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91,889</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284,981</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157,165</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 to cash adjustment</w:t>
            </w: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Startup costs and other intangibles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1,618,932</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1,700,257</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intangibles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(1,953,499)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(870,569)</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13,030</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16,339</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664,106</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651,519</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R&amp;D costs (Sec. 174)</w:t>
            </w: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1,959,520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1,930,337</w:t>
            </w: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66,496</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8,182</w:t>
            </w:r>
          </w:p>
        </w:tc>
      </w:tr>
      <w:tr>
        <w:trPr>
          <w:trHeight w:val="210"/>
        </w:trPr>
        <w:tc>
          <w:tcPr>
            <w:tcW w:w="7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18,561,398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16,040,263</w:t>
            </w: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(19,679,073)</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(16,040,263)</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(liabilities), net of allowance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(1,170,469)</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-453390</wp:posOffset>
            </wp:positionV>
            <wp:extent cx="1028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carryforwards of approximately $65,375,600 and $35,660,700, respectively. As of December 31, 2025 the company has no foreign net operating loss carryforwards. As of December 31, 2024, the Company had federal and state net operating loss carryforwards of approximately $50,966,400 and $28,244,800, respectively. Federal losses of $180,000 begin to expire in 2036 and $65,195,600 of the federal losses carryforward indefinitely. State losses of $22,175,100 begin to expire in 2031 and $13,485,600 of the state losses carryforward indefinitely. Utilization of the net operating loss carryforwards may be subject to an annual limitation according to Section 382 of the Internal Revenue Code of 1986 as amended, and similar provisions.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2" w:name="page133"/>
    <w:bookmarkEnd w:id="132"/>
    <w:p>
      <w:pPr>
        <w:jc w:val="both"/>
        <w:spacing w:after="0" w:line="282" w:lineRule="auto"/>
        <w:rPr>
          <w:sz w:val="20"/>
          <w:szCs w:val="20"/>
          <w:color w:val="auto"/>
        </w:rPr>
      </w:pPr>
      <w:r>
        <w:rPr>
          <w:rFonts w:ascii="Times New Roman" w:cs="Times New Roman" w:eastAsia="Times New Roman" w:hAnsi="Times New Roman"/>
          <w:sz w:val="18"/>
          <w:szCs w:val="18"/>
          <w:color w:val="auto"/>
        </w:rPr>
        <w:t>tax liability for its UK subsidiary. Also, none of the GAAP basis of Goodwill recorded in relation to the Vidello, Ltd. acquisition is deductible for tax purposes.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had no material uncertain tax benefits for the year ended December 31, 2025, and 2024. The Company recognizes interest accrued related to unrecognized tax benefits and penalties in interest expense and penalties in operating expense. No amounts were accrued for the payment of interest and penalties at December 31, 2025, and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2018 and subsequent tax years related to all US jurisdictions remain open.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open tax audits with any taxing authority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year ended December 31, 2025:</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4,426,868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5,473,389</w:t>
            </w:r>
          </w:p>
        </w:tc>
        <w:tc>
          <w:tcPr>
            <w:tcW w:w="1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2,261,162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12,161,419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1,476,701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310,362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401,520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2,188,583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2,950,167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5,163,027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1,859,642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9,972,836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People</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6,254,527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4,545,813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393,025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11,193,365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2,160,168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558,059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2,873,464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60" w:type="dxa"/>
            <w:vAlign w:val="bottom"/>
          </w:tcPr>
          <w:p>
            <w:pPr>
              <w:ind w:left="40"/>
              <w:spacing w:after="0" w:line="164" w:lineRule="exact"/>
              <w:rPr>
                <w:sz w:val="20"/>
                <w:szCs w:val="20"/>
                <w:color w:val="auto"/>
              </w:rPr>
            </w:pPr>
            <w:r>
              <w:rPr>
                <w:rFonts w:ascii="Times New Roman" w:cs="Times New Roman" w:eastAsia="Times New Roman" w:hAnsi="Times New Roman"/>
                <w:sz w:val="18"/>
                <w:szCs w:val="18"/>
                <w:color w:val="auto"/>
              </w:rPr>
              <w:t>Technology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50"/>
              <w:spacing w:after="0" w:line="164" w:lineRule="exact"/>
              <w:rPr>
                <w:sz w:val="20"/>
                <w:szCs w:val="20"/>
                <w:color w:val="auto"/>
              </w:rPr>
            </w:pPr>
            <w:r>
              <w:rPr>
                <w:rFonts w:ascii="Times New Roman" w:cs="Times New Roman" w:eastAsia="Times New Roman" w:hAnsi="Times New Roman"/>
                <w:sz w:val="18"/>
                <w:szCs w:val="18"/>
                <w:color w:val="auto"/>
              </w:rPr>
              <w:t>926,334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272,926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50"/>
              <w:spacing w:after="0" w:line="164" w:lineRule="exact"/>
              <w:rPr>
                <w:sz w:val="20"/>
                <w:szCs w:val="20"/>
                <w:color w:val="auto"/>
              </w:rPr>
            </w:pPr>
            <w:r>
              <w:rPr>
                <w:rFonts w:ascii="Times New Roman" w:cs="Times New Roman" w:eastAsia="Times New Roman" w:hAnsi="Times New Roman"/>
                <w:sz w:val="18"/>
                <w:szCs w:val="18"/>
                <w:color w:val="auto"/>
              </w:rPr>
              <w:t>83,839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50"/>
              <w:spacing w:after="0" w:line="164" w:lineRule="exact"/>
              <w:rPr>
                <w:sz w:val="20"/>
                <w:szCs w:val="20"/>
                <w:color w:val="auto"/>
              </w:rPr>
            </w:pPr>
            <w:r>
              <w:rPr>
                <w:rFonts w:ascii="Times New Roman" w:cs="Times New Roman" w:eastAsia="Times New Roman" w:hAnsi="Times New Roman"/>
                <w:sz w:val="18"/>
                <w:szCs w:val="18"/>
                <w:color w:val="auto"/>
              </w:rPr>
              <w:t>1,283,099</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560" w:type="dxa"/>
            <w:vAlign w:val="bottom"/>
          </w:tcPr>
          <w:p>
            <w:pPr>
              <w:ind w:left="40"/>
              <w:spacing w:after="0" w:line="267"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2,223,686</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535,823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198,407</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2,957,915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11,564,715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5,509,799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1,233,330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18,307,843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626,312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8,819,671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71,320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88,511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8,979,501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(17,434,219)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(418,092)</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537,801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(17,314,508)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-873760</wp:posOffset>
            </wp:positionV>
            <wp:extent cx="698627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7">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-1567815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-1567815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-1567815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-453390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-453390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-453390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firstLine="8"/>
        <w:spacing w:after="0" w:line="223" w:lineRule="auto"/>
        <w:tabs>
          <w:tab w:leader="none" w:pos="9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5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Vidello</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4,305,429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222,450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4,527,879</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1,407,564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14,978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1,422,542</w:t>
            </w: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2,897,865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207,472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3,105,337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People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6,209,488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6,227,130</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1,587,085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1,592,105</w:t>
            </w:r>
          </w:p>
        </w:tc>
        <w:tc>
          <w:tcPr>
            <w:tcW w:w="0" w:type="dxa"/>
            <w:vAlign w:val="bottom"/>
          </w:tcPr>
          <w:p>
            <w:pPr>
              <w:spacing w:after="0"/>
              <w:rPr>
                <w:sz w:val="1"/>
                <w:szCs w:val="1"/>
                <w:color w:val="auto"/>
              </w:rPr>
            </w:pPr>
          </w:p>
        </w:tc>
      </w:tr>
      <w:tr>
        <w:trPr>
          <w:trHeight w:val="216"/>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861,775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112,429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974,204</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9"/>
                <w:szCs w:val="9"/>
                <w:color w:val="auto"/>
              </w:rPr>
              <w:t>2</w:t>
            </w:r>
          </w:p>
        </w:tc>
        <w:tc>
          <w:tcPr>
            <w:tcW w:w="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811,519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6,856</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818,375</w:t>
            </w:r>
          </w:p>
        </w:tc>
        <w:tc>
          <w:tcPr>
            <w:tcW w:w="0" w:type="dxa"/>
            <w:vAlign w:val="bottom"/>
          </w:tcPr>
          <w:p>
            <w:pPr>
              <w:spacing w:after="0"/>
              <w:rPr>
                <w:sz w:val="1"/>
                <w:szCs w:val="1"/>
                <w:color w:val="auto"/>
              </w:rPr>
            </w:pPr>
          </w:p>
        </w:tc>
      </w:tr>
      <w:tr>
        <w:trPr>
          <w:trHeight w:val="209"/>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9,469,867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141,947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9,611,814</w:t>
            </w: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Segment Adjusted EBITDA</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(6,572,002)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65,525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(6,506,477)</w:t>
            </w:r>
          </w:p>
        </w:tc>
        <w:tc>
          <w:tcPr>
            <w:tcW w:w="0" w:type="dxa"/>
            <w:vAlign w:val="bottom"/>
          </w:tcPr>
          <w:p>
            <w:pPr>
              <w:spacing w:after="0"/>
              <w:rPr>
                <w:sz w:val="1"/>
                <w:szCs w:val="1"/>
                <w:color w:val="auto"/>
              </w:rPr>
            </w:pPr>
          </w:p>
        </w:tc>
      </w:tr>
      <w:tr>
        <w:trPr>
          <w:trHeight w:val="216"/>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6,912,309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6,912,309</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Adjusted EBITDA</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(13,484,311)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65,525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(13,418,786)</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-599440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-599440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-599440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100" w:hanging="92"/>
        <w:spacing w:after="0"/>
        <w:tabs>
          <w:tab w:leader="none" w:pos="100" w:val="left"/>
        </w:tabs>
        <w:numPr>
          <w:ilvl w:val="0"/>
          <w:numId w:val="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Vidello acquisition occurred on January 31, 2025 (refer to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and therefore is presented at $0 for comparative purposes.</w:t>
      </w:r>
    </w:p>
    <w:p>
      <w:pPr>
        <w:spacing w:after="0" w:line="211" w:lineRule="exact"/>
        <w:rPr>
          <w:sz w:val="20"/>
          <w:szCs w:val="20"/>
          <w:color w:val="auto"/>
        </w:rPr>
      </w:pPr>
    </w:p>
    <w:p>
      <w:pPr>
        <w:jc w:val="both"/>
        <w:ind w:firstLine="8"/>
        <w:spacing w:after="0" w:line="231" w:lineRule="auto"/>
        <w:tabs>
          <w:tab w:leader="none" w:pos="104"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reconciliation between EBITDA by reportable segment to consolidated net loss before income taxes for the years ended December 31, 2025, and 2024 is as follows:</w:t>
      </w: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by segment</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r>
      <w:tr>
        <w:trPr>
          <w:trHeight w:val="216"/>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Banzai Operating Co.</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(17,434,219)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(13,484,311)</w:t>
            </w:r>
          </w:p>
        </w:tc>
      </w:tr>
      <w:tr>
        <w:trPr>
          <w:trHeight w:val="216"/>
        </w:trPr>
        <w:tc>
          <w:tcPr>
            <w:tcW w:w="4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OpenReel</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(418,092)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65,525</w:t>
            </w:r>
          </w:p>
        </w:tc>
      </w:tr>
      <w:tr>
        <w:trPr>
          <w:trHeight w:val="216"/>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Vidello</w:t>
            </w:r>
          </w:p>
        </w:tc>
        <w:tc>
          <w:tcPr>
            <w:tcW w:w="2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537,801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(17,314,510)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(13,418,786)</w:t>
            </w:r>
          </w:p>
        </w:tc>
      </w:tr>
      <w:tr>
        <w:trPr>
          <w:trHeight w:val="216"/>
        </w:trPr>
        <w:tc>
          <w:tcPr>
            <w:tcW w:w="4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loss before income taxes:</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1,156,984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3,047,101</w:t>
            </w: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1,150,471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24,179</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conversion of liabilities</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11,338,284</w:t>
            </w: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extinguishment of liabilities, net</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(2,085,895)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390,801</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Vidello earnout expense</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485,720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Failed acquisition costs</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1,382,002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974,079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80,760</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issuance</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5,580,835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653,208</w:t>
            </w:r>
          </w:p>
        </w:tc>
      </w:tr>
      <w:tr>
        <w:trPr>
          <w:trHeight w:val="216"/>
        </w:trPr>
        <w:tc>
          <w:tcPr>
            <w:tcW w:w="4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(3,052,229)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(478,288)</w:t>
            </w:r>
          </w:p>
        </w:tc>
      </w:tr>
      <w:tr>
        <w:trPr>
          <w:trHeight w:val="21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2,725,460</w:t>
            </w:r>
          </w:p>
        </w:tc>
      </w:tr>
      <w:tr>
        <w:trPr>
          <w:trHeight w:val="216"/>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(726,572)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113,108</w:t>
            </w: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(21,203,950)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(31,513,389)</w:t>
            </w:r>
          </w:p>
        </w:tc>
      </w:tr>
      <w:tr>
        <w:trPr>
          <w:trHeight w:val="20"/>
        </w:trPr>
        <w:tc>
          <w:tcPr>
            <w:tcW w:w="4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286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F-55</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-942340</wp:posOffset>
            </wp:positionV>
            <wp:extent cx="946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percentage of revenue generated by SaaS product for the years ended December 31, 2025 and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390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0" w:type="dxa"/>
            <w:vAlign w:val="bottom"/>
          </w:tcPr>
          <w:p>
            <w:pPr>
              <w:spacing w:after="0"/>
              <w:rPr>
                <w:sz w:val="1"/>
                <w:szCs w:val="1"/>
                <w:color w:val="auto"/>
              </w:rPr>
            </w:pPr>
          </w:p>
        </w:tc>
      </w:tr>
      <w:tr>
        <w:trPr>
          <w:trHeight w:val="172"/>
        </w:trPr>
        <w:tc>
          <w:tcPr>
            <w:tcW w:w="7340" w:type="dxa"/>
            <w:vAlign w:val="bottom"/>
            <w:gridSpan w:val="2"/>
            <w:vMerge w:val="continue"/>
          </w:tcPr>
          <w:p>
            <w:pPr>
              <w:spacing w:after="0"/>
              <w:rPr>
                <w:sz w:val="14"/>
                <w:szCs w:val="14"/>
                <w:color w:val="auto"/>
              </w:rPr>
            </w:pPr>
          </w:p>
        </w:tc>
        <w:tc>
          <w:tcPr>
            <w:tcW w:w="1880" w:type="dxa"/>
            <w:vAlign w:val="bottom"/>
          </w:tcPr>
          <w:p>
            <w:pPr>
              <w:jc w:val="right"/>
              <w:ind w:right="773"/>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2020" w:type="dxa"/>
            <w:vAlign w:val="bottom"/>
            <w:gridSpan w:val="2"/>
          </w:tcPr>
          <w:p>
            <w:pPr>
              <w:jc w:val="right"/>
              <w:ind w:right="79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Reach</w:t>
            </w:r>
          </w:p>
        </w:tc>
        <w:tc>
          <w:tcPr>
            <w:tcW w:w="1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Demio</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OpenReel </w:t>
            </w:r>
            <w:r>
              <w:rPr>
                <w:rFonts w:ascii="Times New Roman" w:cs="Times New Roman" w:eastAsia="Times New Roman" w:hAnsi="Times New Roman"/>
                <w:sz w:val="21"/>
                <w:szCs w:val="21"/>
                <w:color w:val="auto"/>
                <w:vertAlign w:val="superscript"/>
              </w:rPr>
              <w:t>1</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Vidello </w:t>
            </w:r>
            <w:r>
              <w:rPr>
                <w:rFonts w:ascii="Times New Roman" w:cs="Times New Roman" w:eastAsia="Times New Roman" w:hAnsi="Times New Roman"/>
                <w:sz w:val="21"/>
                <w:szCs w:val="21"/>
                <w:color w:val="auto"/>
                <w:vertAlign w:val="superscript"/>
              </w:rPr>
              <w:t>2</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FF0FC"/>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disaggregation of revenue by geographic area, refer to </w:t>
      </w:r>
      <w:r>
        <w:rPr>
          <w:rFonts w:ascii="Times New Roman" w:cs="Times New Roman" w:eastAsia="Times New Roman" w:hAnsi="Times New Roman"/>
          <w:sz w:val="18"/>
          <w:szCs w:val="18"/>
          <w:i w:val="1"/>
          <w:iCs w:val="1"/>
          <w:color w:val="auto"/>
        </w:rPr>
        <w:t>Note 6 – Revenue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December 31, 2025, on January 27, 2026, February 9, 2026, February 25, 2026, and March 30, 2026, the Company entered into exchange agreements with Agile pursuant to which the Company issued an aggregate of approximately 586,000 shares of its Class A Common Stock in exchange for aggregate reductions of approximately $660,000 in the outstanding balance of the March Agile Note. Following these exchanges, the outstanding balance of the March Agile Note was reduced to approximately $1.3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of Employee Awards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31, 2026, approximately 684,000 RSUs granted to employees vested into shares of Class A Common Stock. In addition, the Company will issue 376,884 shares of Class B Common Stock to the Company’s CEO, of which, approximately 251,256 shares relate to a tranche of the CEO Award vesting upon achieving a market capitalization threshold, and the remaining 125,628 shares relate to the CEO's 2025 bonus payment. See </w:t>
      </w:r>
      <w:r>
        <w:rPr>
          <w:rFonts w:ascii="Times New Roman" w:cs="Times New Roman" w:eastAsia="Times New Roman" w:hAnsi="Times New Roman"/>
          <w:sz w:val="18"/>
          <w:szCs w:val="18"/>
          <w:i w:val="1"/>
          <w:iCs w:val="1"/>
          <w:color w:val="auto"/>
        </w:rPr>
        <w:t>Note 16,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Advanced Notice Settlements and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Company issued Advance Notices to Yorkville pursuant to the SEPA in which the Company requested the purchase of approximately 635,000 shares of the Company's Class A Common Stock at an aggregate gross value of approximately $700 thousand, and net proceeds of approximately $670 thousand were applied against the outstanding Yorkville Convertible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Offering (3i, 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13, 2026, the parties held an additional closing pursuant to the terms of the Purchase Agreement (the “February Closing”). The Company issued an additional note in the original principal amount of $2,333,333, with an initial conversion price equal to $1.11 per share and issuance date of February 13, 2026 (the “February 3i Note," together with the August Note, the October Note, and the Initial Note, are collectively referred to herein as the “Notes”), and additional warrants to purchase up to 420,000 shares of Common Stock, at an initial exercise price equal to $2.50 per share (the “February Warrants," together with the August Warrant, the October Warrants, August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w:t>
      </w:r>
      <w:r>
        <w:rPr>
          <w:rFonts w:ascii="Times New Roman" w:cs="Times New Roman" w:eastAsia="Times New Roman" w:hAnsi="Times New Roman"/>
          <w:sz w:val="18"/>
          <w:szCs w:val="18"/>
          <w:color w:val="212529"/>
        </w:rPr>
        <w:t>received proceeds of approximately $1.6 million, net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original issue discount and issuance fees and costs.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October Note is subject to a floor price of $0.254.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i w:val="1"/>
          <w:iCs w:val="1"/>
          <w:color w:val="auto"/>
        </w:rPr>
        <w:t>1800 Diagonal Issuance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Issuances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Buyer exercised its contractual conversion option multiple times under the August 3i Note, the October 3i Note, and the February 3i Note and received an aggregate of approximately 2.9 million shares of Class A Common Stock at conversion prices per share ranging from $0.83 to $1.10 in satisfaction of approximately $2.7 million of the Company's obligations under the respective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Conversions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Lender exercised its contractual conversion option multiple times under the July 1800 Diagonal Note and September 1800 Diagonal Note and received an aggregate of approximately 476 thousand shares of Class A Common Stock at conversion prices ranging from $0.825 to $0.930 in satisfaction of approximately $392 thousand of the Company's obligations under the respective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December 31, 2025, the Company issued approximately 2.1 million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Announcement</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$15 million. The two companies have executed a non-binding letter of intent, and the final transaction is expected to close in early second quarter 2026, subject to execution of a definitive agreement and closing conditions.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0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Charter authorizes the issuance of 350,000,000 shares, consisting of 250,000,000 shares of Class A Common Stock, 25,000,000 shares of Class B Common Stock, and 75,000,000 shares of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Each holder of Class A Common Stock is entitled to one vote for each share of Class A Common Stock held of record by such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spacing w:after="0" w:line="182"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the rights of holders of Preferred Stock, holders of Class A Common Stock and Class B Common Stock are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ratably, on a per share basis, dividends and other distributions in cash, stock or property of the Company as may be declared and paid from time to time by the Board out of any of our assets legally available therefor.</w:t>
      </w:r>
    </w:p>
    <w:p>
      <w:pPr>
        <w:spacing w:after="0" w:line="171"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Subject to applicable law and the rights of holders of Preferred Stock, holders of Class A Common Stock and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spacing w:after="0" w:line="179"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No holder of Class A Common Stock is entitled to preemptive or subscription rights contained in the Charter or in the Bylaws. There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Class B Common Stock. </w:t>
      </w:r>
      <w:r>
        <w:rPr>
          <w:rFonts w:ascii="Times New Roman" w:cs="Times New Roman" w:eastAsia="Times New Roman" w:hAnsi="Times New Roman"/>
          <w:sz w:val="18"/>
          <w:szCs w:val="18"/>
          <w:color w:val="auto"/>
        </w:rPr>
        <w:t>Shares of Class B Common Stock may be issued only to, and registered in the name of, Mr. Davy and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spacing w:after="0" w:line="182"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Each holder of Class B Common Stock is entitled to 10 votes for each share of Class B Common Stock held of record by such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all matters voted upon by our stockholders, provided, however, that,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61" w:lineRule="auto"/>
        <w:rPr>
          <w:sz w:val="20"/>
          <w:szCs w:val="20"/>
          <w:color w:val="auto"/>
        </w:rPr>
      </w:pPr>
      <w:r>
        <w:rPr>
          <w:rFonts w:ascii="Times New Roman" w:cs="Times New Roman" w:eastAsia="Times New Roman" w:hAnsi="Times New Roman"/>
          <w:sz w:val="18"/>
          <w:szCs w:val="18"/>
          <w:color w:val="auto"/>
        </w:rPr>
        <w:t>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spacing w:after="0" w:line="176"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the rights of holders of Preferred Stock, holders of Class A Common Stock and Class B Common Stock are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ratably, on a per share basis, dividends and other distributions in cash, stock or property of the Company as may be declared and paid from time to time by the Board out of any of our assets legally available therefor.</w:t>
      </w:r>
    </w:p>
    <w:p>
      <w:pPr>
        <w:spacing w:after="0" w:line="171"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Subject to applicable law and the rights of holders of Preferred Stock, holders of Class A Common Stock and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spacing w:after="0" w:line="179"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Charter, holders of shares of Class B Common Stock are generally restricted from transferring such shares, other than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Class B Owner or in connection with a divorce or domestic relations order or decree.</w:t>
      </w:r>
    </w:p>
    <w:p>
      <w:pPr>
        <w:spacing w:after="0" w:line="15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share of Class B Common Stock will be (1) automatically converted into an equal number of fully paid and nonassessable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spacing w:after="0" w:line="183"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No holder of Class B Common Stock is entitled to preemptive or subscription rights contained in the Charter or in the Bylaws. There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FE Preferred Stock</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Series A Warrants, Series B Warrants, Placement Agent Warrants, Warrants and Pre-Funded Warrants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Prospectus Summary - Recent Wainwright Private Financing” &amp; “Prospectus Summary - Recent Developments - Alco and CP BF Registration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Prospectus Summary - Recent Developments - Alco and CP BF Registration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Stockholder Warrants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$575.00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Class A Common Stock Equals or Exceeds $18.00.</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225" w:lineRule="exact"/>
        <w:rPr>
          <w:sz w:val="20"/>
          <w:szCs w:val="20"/>
          <w:color w:val="auto"/>
        </w:rPr>
      </w:pPr>
    </w:p>
    <w:p>
      <w:pPr>
        <w:ind w:left="500" w:hanging="371"/>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500" w:hanging="371"/>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5" w:lineRule="exact"/>
        <w:rPr>
          <w:rFonts w:ascii="Times New Roman" w:cs="Times New Roman" w:eastAsia="Times New Roman" w:hAnsi="Times New Roman"/>
          <w:sz w:val="18"/>
          <w:szCs w:val="18"/>
          <w:color w:val="auto"/>
        </w:rPr>
      </w:pPr>
    </w:p>
    <w:p>
      <w:pPr>
        <w:ind w:left="500" w:hanging="371"/>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500" w:hanging="371"/>
        <w:spacing w:after="0" w:line="26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 per share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 Warrants-Public Stockholder Warrants-Anti-dilution Adjustments</w:t>
      </w:r>
      <w:r>
        <w:rPr>
          <w:rFonts w:ascii="Times New Roman" w:cs="Times New Roman" w:eastAsia="Times New Roman" w:hAnsi="Times New Roman"/>
          <w:sz w:val="18"/>
          <w:szCs w:val="18"/>
          <w:color w:val="auto"/>
        </w:rPr>
        <w:t>”) for any 20 trading days within a 30-trading day period ending three trading days before the Company sends the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to the warrant holders.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 redemption trigger price (as adjusted for certain adjustments to the number of shares issuable upon exercise or the exercise price of a Public Warrant as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jc w:val="both"/>
        <w:spacing w:after="0" w:line="284" w:lineRule="auto"/>
        <w:rPr>
          <w:sz w:val="20"/>
          <w:szCs w:val="20"/>
          <w:color w:val="auto"/>
        </w:rPr>
      </w:pPr>
      <w:r>
        <w:rPr>
          <w:rFonts w:ascii="Times New Roman" w:cs="Times New Roman" w:eastAsia="Times New Roman" w:hAnsi="Times New Roman"/>
          <w:sz w:val="18"/>
          <w:szCs w:val="18"/>
          <w:color w:val="auto"/>
        </w:rPr>
        <w:t>under the heading “</w:t>
      </w:r>
      <w:r>
        <w:rPr>
          <w:rFonts w:ascii="Times New Roman" w:cs="Times New Roman" w:eastAsia="Times New Roman" w:hAnsi="Times New Roman"/>
          <w:sz w:val="18"/>
          <w:szCs w:val="18"/>
          <w:i w:val="1"/>
          <w:iCs w:val="1"/>
          <w:color w:val="auto"/>
        </w:rPr>
        <w:t>-Warrants-Public Stockholder Warrants-Anti-dilution Adjustments</w:t>
      </w:r>
      <w:r>
        <w:rPr>
          <w:rFonts w:ascii="Times New Roman" w:cs="Times New Roman" w:eastAsia="Times New Roman" w:hAnsi="Times New Roman"/>
          <w:sz w:val="18"/>
          <w:szCs w:val="18"/>
          <w:color w:val="auto"/>
        </w:rPr>
        <w:t>”) as well as the $575.00 (for whole shares) Public Warrant exercise price after the redemption notice is issued.</w:t>
      </w:r>
    </w:p>
    <w:p>
      <w:pPr>
        <w:spacing w:after="0" w:line="16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 then the Public Warrant price shall be decreased, effective immediately, by the amount of cash and/or fair market value (as determined by the Board in good faith) of any securities or other assets paid on each share.</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adjustment and (y) the denominator of which will be the number of shares of Class A Common Stock so purchasable immediately thereafter.</w:t>
      </w:r>
    </w:p>
    <w:p>
      <w:pPr>
        <w:spacing w:after="0" w:line="225"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spacing w:after="0" w:line="20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 Warrant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GEM Warrant entitles GEM to purchase up to 1,657 shares of Class A Common Stock at an exercise price of $3,407.25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1" w:name="page142"/>
    <w:bookmarkEnd w:id="141"/>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in connection with the Senior Secured 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Debt – Senior Secured Convertible Notes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Convertible Notes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After the Closing, the Senior Convertible Note is convertible, at CP BF’s option on 5 days’ written notice to the Company, into shares of Class A Common Stock. The Senior Convertible Note provides that the initial fixed conversion price for any such conversion is $38.90 per share, subject to adjustment as provided therein and as amended by the letter agreement described below.</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2" w:name="page143"/>
    <w:bookmarkEnd w:id="142"/>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Pursuant to a letter agreement, the following amendments were made to the Loan Agreement and Note in October 2025:</w:t>
      </w:r>
    </w:p>
    <w:p>
      <w:pPr>
        <w:spacing w:after="0" w:line="225" w:lineRule="exact"/>
        <w:rPr>
          <w:sz w:val="20"/>
          <w:szCs w:val="20"/>
          <w:color w:val="auto"/>
        </w:rPr>
      </w:pPr>
    </w:p>
    <w:p>
      <w:pPr>
        <w:ind w:left="380" w:right="20" w:hanging="264"/>
        <w:spacing w:after="0" w:line="282"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is reduced to a price equal to 95% of the price of the Class A Common Stock on the trading day (each a “Trading Day”) immediately preceding delivery of any Conversion Notice, subject to a floor price of $2.50 (the “Floor Price”).</w:t>
      </w:r>
    </w:p>
    <w:p>
      <w:pPr>
        <w:spacing w:after="0" w:line="161" w:lineRule="exact"/>
        <w:rPr>
          <w:rFonts w:ascii="Times New Roman" w:cs="Times New Roman" w:eastAsia="Times New Roman" w:hAnsi="Times New Roman"/>
          <w:sz w:val="18"/>
          <w:szCs w:val="18"/>
          <w:color w:val="auto"/>
        </w:rPr>
      </w:pPr>
    </w:p>
    <w:p>
      <w:pPr>
        <w:jc w:val="both"/>
        <w:ind w:left="380" w:hanging="264"/>
        <w:spacing w:after="0" w:line="266"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p>
      <w:pPr>
        <w:spacing w:after="0" w:line="175" w:lineRule="exact"/>
        <w:rPr>
          <w:rFonts w:ascii="Times New Roman" w:cs="Times New Roman" w:eastAsia="Times New Roman" w:hAnsi="Times New Roman"/>
          <w:sz w:val="18"/>
          <w:szCs w:val="18"/>
          <w:color w:val="auto"/>
        </w:rPr>
      </w:pPr>
    </w:p>
    <w:p>
      <w:pPr>
        <w:jc w:val="both"/>
        <w:ind w:left="380" w:hanging="264"/>
        <w:spacing w:after="0" w:line="266"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 Promissory Note</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Promissory Notes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w:t>
      </w:r>
      <w:r>
        <w:rPr>
          <w:rFonts w:ascii="Times New Roman" w:cs="Times New Roman" w:eastAsia="Times New Roman" w:hAnsi="Times New Roman"/>
          <w:sz w:val="18"/>
          <w:szCs w:val="18"/>
          <w:i w:val="1"/>
          <w:iCs w:val="1"/>
          <w:color w:val="auto"/>
        </w:rPr>
        <w:t>- Yorkville SEPA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3" w:name="page144"/>
    <w:bookmarkEnd w:id="143"/>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spacing w:after="0" w:line="19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Yorkville Promissory Notes accrue interest on the outstanding principal balances at an annual rate equal to 0%, subject to an increase to 18% upon an event of default as described in the Yorkville Promissory Notes.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SEPAs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4" w:name="page145"/>
    <w:bookmarkEnd w:id="144"/>
    <w:p>
      <w:pPr>
        <w:jc w:val="both"/>
        <w:spacing w:after="0" w:line="282" w:lineRule="auto"/>
        <w:rPr>
          <w:sz w:val="20"/>
          <w:szCs w:val="20"/>
          <w:color w:val="auto"/>
        </w:rPr>
      </w:pPr>
      <w:r>
        <w:rPr>
          <w:rFonts w:ascii="Times New Roman" w:cs="Times New Roman" w:eastAsia="Times New Roman" w:hAnsi="Times New Roman"/>
          <w:sz w:val="18"/>
          <w:szCs w:val="18"/>
          <w:color w:val="auto"/>
        </w:rPr>
        <w:t>shall be paid by offsetting the amount of the aggregate purchase price to be paid by Yorkville against an equal amount outstanding under the Promissory Note.</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ability to deliver Advance Notices to Yorkville is subject to the satisfaction or waiver of certain conditions.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SEPA</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Unless earlier terminated as provided in the SEPA, the SEPA will terminate automatically on the earlier to occur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5" w:name="page146"/>
    <w:bookmarkEnd w:id="145"/>
    <w:p>
      <w:pPr>
        <w:jc w:val="both"/>
        <w:ind w:left="520" w:hanging="391"/>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p>
      <w:pPr>
        <w:spacing w:after="0" w:line="175" w:lineRule="exact"/>
        <w:rPr>
          <w:rFonts w:ascii="Times New Roman" w:cs="Times New Roman" w:eastAsia="Times New Roman" w:hAnsi="Times New Roman"/>
          <w:sz w:val="18"/>
          <w:szCs w:val="18"/>
          <w:color w:val="auto"/>
        </w:rPr>
      </w:pPr>
    </w:p>
    <w:p>
      <w:pPr>
        <w:ind w:left="520" w:hanging="391"/>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Yorkville shall have made payment of Advances pursuant to the SEPA for shares of Class A Common Stock equal to the commitment amount of $100.0 million.</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Subject to certain conditions, we have the right to unilaterally terminate the SEPA upon five trading days’ prior written notice to Yorkville. The SEPA may also be terminated at any time by mutual written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Issuances of Class A Common Stock Under the SEPA on our Stockholders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Notes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spacing w:after="0" w:line="18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On August 19, 2025, the Company conducted an additional closing pursuant to the Purchase Agreement (the “August Closing”) and issued an additional note in the original principal amount of $2,200,000 (the “August Note”) and warrants to purchase up to 396,396 shares of Class A Common Stock, as adjusted, at a current exercise price equal to $1.11 per share, as adjusted (the “August Warrants”). The August Note has a current conversion price equal to $1.11 per share, as adjusted, and matures on August 19, 2026. Other than the maturity date and the conversion and exercise prices, the August Note and August Warrants have the same terms as those issued at the Initial Closing.</w:t>
      </w:r>
    </w:p>
    <w:p>
      <w:pPr>
        <w:spacing w:after="0" w:line="18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On October 8, 2025, the Company conducted an additional closing pursuant to the Purchase Agreement (the “October Closing”) and issued an additional note in the original principal amount of $2,500,000 (the “October Note”) and warrants to purchase up to 450,450 shares of Class A Common Stock, as adjusted, at a current exercise price equal to $1.11 per share, as adjusted (the “October Warrants”). The October Note has a current conversion price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jc w:val="both"/>
        <w:spacing w:after="0" w:line="282" w:lineRule="auto"/>
        <w:rPr>
          <w:sz w:val="20"/>
          <w:szCs w:val="20"/>
          <w:color w:val="auto"/>
        </w:rPr>
      </w:pPr>
      <w:r>
        <w:rPr>
          <w:rFonts w:ascii="Times New Roman" w:cs="Times New Roman" w:eastAsia="Times New Roman" w:hAnsi="Times New Roman"/>
          <w:sz w:val="18"/>
          <w:szCs w:val="18"/>
          <w:color w:val="auto"/>
        </w:rPr>
        <w:t>$1.11 per share, as adjusted, and matures on October 8, 2026. Other than the maturity date and the conversion and exercise prices, the October Note and October Warrants have the same terms as those issued at the August Closing and the Initial Closing.</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February 13, 2026, the Company conducted an additional closing pursuant to the Purchase Agreement (the “February Closing”) and issued an additional note in the original principal amount of $2,333,333.33 (the “February Note" and, together with the October Note, the August Note, and the Initial Note, the “Notes”) and warrants to purchase up to 420,420 shares of Class A Common Stock at an initial exercise price equal to $1.11 per share (the “February Warrants" and, together with the October Warrants, the August Warrants, and the Initial Buyer Warrants, the "Buyer Warrants"). The February Note has an initial conversion price equal to $1.11 per share and matures on February 13, 2027. Other than the maturity date and the conversion and exercise prices, the February Note and February Warrants have the same terms as those issued at the prior closings.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Notes were each issued with an original issue discount of 10.0% and accrue interest at a rate of 10.0% per annum. The Notes mature twelve</w:t>
      </w:r>
    </w:p>
    <w:p>
      <w:pPr>
        <w:spacing w:after="0" w:line="27" w:lineRule="exact"/>
        <w:rPr>
          <w:sz w:val="20"/>
          <w:szCs w:val="20"/>
          <w:color w:val="auto"/>
        </w:rPr>
      </w:pPr>
    </w:p>
    <w:p>
      <w:pPr>
        <w:jc w:val="both"/>
        <w:ind w:firstLine="8"/>
        <w:spacing w:after="0" w:line="252" w:lineRule="auto"/>
        <w:tabs>
          <w:tab w:leader="none" w:pos="3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$0.2540).</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spacing w:after="0" w:line="18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spacing w:after="0" w:line="18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Buyer Warrants are exercisable immediately upon issuance and have a term of exercise equal to three (3) years from the respective date of issuance. The exercise price of the Buyer Warrants is $1.11 per share (subject to adjustment as set forth therein).</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7" w:name="page148"/>
    <w:bookmarkEnd w:id="147"/>
    <w:p>
      <w:pPr>
        <w:jc w:val="both"/>
        <w:spacing w:after="0" w:line="261" w:lineRule="auto"/>
        <w:rPr>
          <w:sz w:val="20"/>
          <w:szCs w:val="20"/>
          <w:color w:val="auto"/>
        </w:rPr>
      </w:pPr>
      <w:r>
        <w:rPr>
          <w:rFonts w:ascii="Times New Roman" w:cs="Times New Roman" w:eastAsia="Times New Roman" w:hAnsi="Times New Roman"/>
          <w:sz w:val="18"/>
          <w:szCs w:val="18"/>
          <w:color w:val="auto"/>
        </w:rPr>
        <w:t>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spacing w:after="0" w:line="180"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The shares of Class A Common Stock underlying the Notes and the Buyer Warrants issued in connection with the Offering are registered for resale under registration statements filed with the SEC.</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Charter or Bylaws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the Charter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Among other things, the Charter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8" w:name="page149"/>
    <w:bookmarkEnd w:id="148"/>
    <w:p>
      <w:pPr>
        <w:ind w:left="380" w:right="20" w:hanging="251"/>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to issue up to 75,000,000 shares of Preferred Stock, with any rights, preferences, and privileges as they may designate, including the right to approve an acquisition or other change of control;</w:t>
      </w:r>
    </w:p>
    <w:p>
      <w:pPr>
        <w:spacing w:after="0" w:line="161" w:lineRule="exact"/>
        <w:rPr>
          <w:rFonts w:ascii="Times New Roman" w:cs="Times New Roman" w:eastAsia="Times New Roman" w:hAnsi="Times New Roman"/>
          <w:sz w:val="18"/>
          <w:szCs w:val="18"/>
          <w:color w:val="auto"/>
        </w:rPr>
      </w:pPr>
    </w:p>
    <w:p>
      <w:pPr>
        <w:ind w:left="380" w:hanging="251"/>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w:t>
      </w:r>
    </w:p>
    <w:p>
      <w:pPr>
        <w:spacing w:after="0" w:line="225" w:lineRule="exact"/>
        <w:rPr>
          <w:rFonts w:ascii="Times New Roman" w:cs="Times New Roman" w:eastAsia="Times New Roman" w:hAnsi="Times New Roman"/>
          <w:sz w:val="18"/>
          <w:szCs w:val="18"/>
          <w:color w:val="auto"/>
        </w:rPr>
      </w:pPr>
    </w:p>
    <w:p>
      <w:pPr>
        <w:ind w:left="380" w:hanging="251"/>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is classified into three classes of directors;</w:t>
      </w:r>
    </w:p>
    <w:p>
      <w:pPr>
        <w:spacing w:after="0" w:line="225" w:lineRule="exact"/>
        <w:rPr>
          <w:rFonts w:ascii="Times New Roman" w:cs="Times New Roman" w:eastAsia="Times New Roman" w:hAnsi="Times New Roman"/>
          <w:sz w:val="18"/>
          <w:szCs w:val="18"/>
          <w:color w:val="auto"/>
        </w:rPr>
      </w:pPr>
    </w:p>
    <w:p>
      <w:pPr>
        <w:jc w:val="both"/>
        <w:ind w:left="380" w:hanging="251"/>
        <w:spacing w:after="0" w:line="266"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p>
      <w:pPr>
        <w:spacing w:after="0" w:line="175" w:lineRule="exact"/>
        <w:rPr>
          <w:rFonts w:ascii="Times New Roman" w:cs="Times New Roman" w:eastAsia="Times New Roman" w:hAnsi="Times New Roman"/>
          <w:sz w:val="18"/>
          <w:szCs w:val="18"/>
          <w:color w:val="auto"/>
        </w:rPr>
      </w:pPr>
    </w:p>
    <w:p>
      <w:pPr>
        <w:ind w:left="380" w:hanging="251"/>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380" w:hanging="251"/>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the Company’s stockholders must be effected at a duly called annual or special meeting of stockholders and not be taken by written consent or electronic transmission;</w:t>
      </w:r>
    </w:p>
    <w:p>
      <w:pPr>
        <w:spacing w:after="0" w:line="161" w:lineRule="exact"/>
        <w:rPr>
          <w:rFonts w:ascii="Times New Roman" w:cs="Times New Roman" w:eastAsia="Times New Roman" w:hAnsi="Times New Roman"/>
          <w:sz w:val="18"/>
          <w:szCs w:val="18"/>
          <w:color w:val="auto"/>
        </w:rPr>
      </w:pPr>
    </w:p>
    <w:p>
      <w:pPr>
        <w:ind w:left="380" w:hanging="251"/>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61" w:lineRule="exact"/>
        <w:rPr>
          <w:rFonts w:ascii="Times New Roman" w:cs="Times New Roman" w:eastAsia="Times New Roman" w:hAnsi="Times New Roman"/>
          <w:sz w:val="18"/>
          <w:szCs w:val="18"/>
          <w:color w:val="auto"/>
        </w:rPr>
      </w:pPr>
    </w:p>
    <w:p>
      <w:pPr>
        <w:ind w:left="380" w:hanging="251"/>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Company’s stockholders may be called only by the chairperson of the Board, the Company’s Chief Executive Officer or by the Board pursuant to a resolution adopted by a majority of the total number of authorized directors; and</w:t>
      </w:r>
    </w:p>
    <w:p>
      <w:pPr>
        <w:spacing w:after="0" w:line="161" w:lineRule="exact"/>
        <w:rPr>
          <w:rFonts w:ascii="Times New Roman" w:cs="Times New Roman" w:eastAsia="Times New Roman" w:hAnsi="Times New Roman"/>
          <w:sz w:val="18"/>
          <w:szCs w:val="18"/>
          <w:color w:val="auto"/>
        </w:rPr>
      </w:pPr>
    </w:p>
    <w:p>
      <w:pPr>
        <w:ind w:left="380" w:right="20" w:hanging="251"/>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voting power of the stock of the Company entitled to vote in any election of directors to elect all of the directors standing for election, if they should so choose.</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9" w:name="page150"/>
    <w:bookmarkEnd w:id="14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 Selection</w:t>
      </w:r>
    </w:p>
    <w:p>
      <w:pPr>
        <w:spacing w:after="0" w:line="227"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ind w:left="380"/>
        <w:spacing w:after="0"/>
        <w:rPr>
          <w:sz w:val="20"/>
          <w:szCs w:val="20"/>
          <w:color w:val="auto"/>
        </w:rPr>
      </w:pPr>
      <w:r>
        <w:rPr>
          <w:rFonts w:ascii="Times New Roman" w:cs="Times New Roman" w:eastAsia="Times New Roman" w:hAnsi="Times New Roman"/>
          <w:sz w:val="18"/>
          <w:szCs w:val="18"/>
          <w:color w:val="auto"/>
        </w:rPr>
        <w:t>We have not opted out of the provisions of Section 203 of the DGCL regulating corporate takeovers under the Charter. This statute prevents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corporations, under certain circumstances, from engaging in a “business combination” with:</w:t>
      </w:r>
    </w:p>
    <w:p>
      <w:pPr>
        <w:spacing w:after="0" w:line="207" w:lineRule="exact"/>
        <w:rPr>
          <w:sz w:val="20"/>
          <w:szCs w:val="20"/>
          <w:color w:val="auto"/>
        </w:rPr>
      </w:pPr>
    </w:p>
    <w:p>
      <w:pPr>
        <w:ind w:left="500" w:hanging="371"/>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225" w:lineRule="exact"/>
        <w:rPr>
          <w:rFonts w:ascii="Times New Roman" w:cs="Times New Roman" w:eastAsia="Times New Roman" w:hAnsi="Times New Roman"/>
          <w:sz w:val="18"/>
          <w:szCs w:val="18"/>
          <w:color w:val="auto"/>
        </w:rPr>
      </w:pPr>
    </w:p>
    <w:p>
      <w:pPr>
        <w:ind w:left="500" w:hanging="371"/>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500" w:hanging="371"/>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“business combination” includes a merger or sale of more than 10% of our assets. However, the above provisions of Section 203 do not apply if:</w:t>
      </w:r>
    </w:p>
    <w:p>
      <w:pPr>
        <w:spacing w:after="0" w:line="225" w:lineRule="exact"/>
        <w:rPr>
          <w:sz w:val="20"/>
          <w:szCs w:val="20"/>
          <w:color w:val="auto"/>
        </w:rPr>
      </w:pPr>
    </w:p>
    <w:p>
      <w:pPr>
        <w:ind w:left="480" w:hanging="351"/>
        <w:spacing w:after="0"/>
        <w:tabs>
          <w:tab w:leader="none" w:pos="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prior to the date of the transaction;</w:t>
      </w:r>
    </w:p>
    <w:p>
      <w:pPr>
        <w:spacing w:after="0" w:line="225" w:lineRule="exact"/>
        <w:rPr>
          <w:rFonts w:ascii="Times New Roman" w:cs="Times New Roman" w:eastAsia="Times New Roman" w:hAnsi="Times New Roman"/>
          <w:sz w:val="18"/>
          <w:szCs w:val="18"/>
          <w:color w:val="auto"/>
        </w:rPr>
      </w:pPr>
    </w:p>
    <w:p>
      <w:pPr>
        <w:ind w:left="480" w:right="20" w:hanging="351"/>
        <w:spacing w:after="0" w:line="282" w:lineRule="auto"/>
        <w:tabs>
          <w:tab w:leader="none" w:pos="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61" w:lineRule="exact"/>
        <w:rPr>
          <w:rFonts w:ascii="Times New Roman" w:cs="Times New Roman" w:eastAsia="Times New Roman" w:hAnsi="Times New Roman"/>
          <w:sz w:val="18"/>
          <w:szCs w:val="18"/>
          <w:color w:val="auto"/>
        </w:rPr>
      </w:pPr>
    </w:p>
    <w:p>
      <w:pPr>
        <w:jc w:val="both"/>
        <w:ind w:left="480" w:hanging="351"/>
        <w:spacing w:after="0" w:line="266" w:lineRule="auto"/>
        <w:tabs>
          <w:tab w:leader="none" w:pos="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Business Corporation Act</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spacing w:after="0" w:line="192" w:lineRule="exact"/>
        <w:rPr>
          <w:sz w:val="20"/>
          <w:szCs w:val="20"/>
          <w:color w:val="auto"/>
        </w:rPr>
      </w:pPr>
    </w:p>
    <w:p>
      <w:pPr>
        <w:ind w:left="460" w:hanging="344"/>
        <w:spacing w:after="0"/>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with disposition of assets to, or issuance or redemption of stock to or from, the acquiring person;</w:t>
      </w:r>
    </w:p>
    <w:p>
      <w:pPr>
        <w:spacing w:after="0" w:line="225" w:lineRule="exact"/>
        <w:rPr>
          <w:rFonts w:ascii="Times New Roman" w:cs="Times New Roman" w:eastAsia="Times New Roman" w:hAnsi="Times New Roman"/>
          <w:sz w:val="18"/>
          <w:szCs w:val="18"/>
          <w:color w:val="auto"/>
        </w:rPr>
      </w:pPr>
    </w:p>
    <w:p>
      <w:pPr>
        <w:ind w:left="460" w:hanging="344"/>
        <w:spacing w:after="0" w:line="282"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5% or more of the employees of the target corporation or its subsidiaries employed in Washington as a result of the acquiring person’s acquisition of 10% or more of the shares; and</w:t>
      </w:r>
    </w:p>
    <w:p>
      <w:pPr>
        <w:spacing w:after="0" w:line="161" w:lineRule="exact"/>
        <w:rPr>
          <w:rFonts w:ascii="Times New Roman" w:cs="Times New Roman" w:eastAsia="Times New Roman" w:hAnsi="Times New Roman"/>
          <w:sz w:val="18"/>
          <w:szCs w:val="18"/>
          <w:color w:val="auto"/>
        </w:rPr>
      </w:pPr>
    </w:p>
    <w:p>
      <w:pPr>
        <w:ind w:left="460" w:hanging="344"/>
        <w:spacing w:after="0"/>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acquiring person to receive any disproportionate benefit as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1" w:name="page152"/>
    <w:bookmarkEnd w:id="151"/>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spacing w:after="0" w:line="18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If the Company meets the definition of a target corporation, the WBCA may have the effect of delaying, deferring, or preventing a future change of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162" w:lineRule="exact"/>
        <w:rPr>
          <w:sz w:val="20"/>
          <w:szCs w:val="20"/>
          <w:color w:val="auto"/>
        </w:rPr>
      </w:pPr>
    </w:p>
    <w:p>
      <w:pPr>
        <w:ind w:left="380" w:hanging="264"/>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these provisions in the Charter are necessary to attract and retain qualified persons as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2" w:name="page153"/>
    <w:bookmarkEnd w:id="15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for Common Stock and the warrant agent for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 and Public Warrants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Company’s Class A Common Stock is listed on The Nasdaq Capital Market under the symbol “BNZI,” and the Company’s Public Warrants are listed on The Nasdaq Capital Market under the symbol “BNZIW.”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00" w:type="dxa"/>
            <w:vAlign w:val="bottom"/>
          </w:tcPr>
          <w:p>
            <w:pPr>
              <w:spacing w:after="0"/>
              <w:rPr>
                <w:sz w:val="24"/>
                <w:szCs w:val="24"/>
                <w:color w:val="auto"/>
              </w:rPr>
            </w:pPr>
          </w:p>
        </w:tc>
        <w:tc>
          <w:tcPr>
            <w:tcW w:w="8140" w:type="dxa"/>
            <w:vAlign w:val="bottom"/>
            <w:gridSpan w:val="3"/>
          </w:tcPr>
          <w:p>
            <w:pPr>
              <w:ind w:left="580"/>
              <w:spacing w:after="0"/>
              <w:rPr>
                <w:sz w:val="20"/>
                <w:szCs w:val="20"/>
                <w:color w:val="auto"/>
              </w:rPr>
            </w:pPr>
            <w:r>
              <w:rPr>
                <w:rFonts w:ascii="Times New Roman" w:cs="Times New Roman" w:eastAsia="Times New Roman" w:hAnsi="Times New Roman"/>
                <w:sz w:val="22"/>
                <w:szCs w:val="22"/>
                <w:b w:val="1"/>
                <w:bCs w:val="1"/>
                <w:color w:val="auto"/>
              </w:rPr>
              <w:t>SUBSIDIARIES OF THE REGISTRANT</w:t>
            </w:r>
          </w:p>
        </w:tc>
      </w:tr>
      <w:tr>
        <w:trPr>
          <w:trHeight w:val="366"/>
        </w:trPr>
        <w:tc>
          <w:tcPr>
            <w:tcW w:w="3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Name</w:t>
            </w:r>
          </w:p>
        </w:tc>
        <w:tc>
          <w:tcPr>
            <w:tcW w:w="39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Jurisdiction</w:t>
            </w:r>
          </w:p>
        </w:tc>
      </w:tr>
      <w:tr>
        <w:trPr>
          <w:trHeight w:val="209"/>
        </w:trPr>
        <w:tc>
          <w:tcPr>
            <w:tcW w:w="310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Banzai Operating Co LLC</w:t>
            </w:r>
          </w:p>
        </w:tc>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31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Demio Holding, Inc.</w:t>
            </w:r>
          </w:p>
        </w:tc>
        <w:tc>
          <w:tcPr>
            <w:tcW w:w="3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9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31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Banzai Passage Inc.</w:t>
            </w:r>
          </w:p>
        </w:tc>
        <w:tc>
          <w:tcPr>
            <w:tcW w:w="3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9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31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OpenReel, Inc.</w:t>
            </w:r>
          </w:p>
        </w:tc>
        <w:tc>
          <w:tcPr>
            <w:tcW w:w="3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9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31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Banzai CS Acquisition, Inc.</w:t>
            </w:r>
          </w:p>
        </w:tc>
        <w:tc>
          <w:tcPr>
            <w:tcW w:w="3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9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31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Vidello Limited</w:t>
            </w: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England &amp; Wales</w:t>
            </w:r>
          </w:p>
        </w:tc>
      </w:tr>
      <w:tr>
        <w:trPr>
          <w:trHeight w:val="2007"/>
        </w:trPr>
        <w:tc>
          <w:tcPr>
            <w:tcW w:w="31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on Form S-8 (No. 333-293462) and Form S-3 (Nos. 333-288908, 333-288935, 333-293161 and 333-289099</w:t>
      </w:r>
      <w:r>
        <w:rPr>
          <w:rFonts w:ascii="Times New Roman" w:cs="Times New Roman" w:eastAsia="Times New Roman" w:hAnsi="Times New Roman"/>
          <w:sz w:val="19"/>
          <w:szCs w:val="19"/>
          <w:color w:val="auto"/>
        </w:rPr>
        <w:t>) of our report dated April 15, 2025, except for Note 1 as to which the date is September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12, 2025</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with respect to the financial statements of Banzai International, Inc. for the year ended December 31, 2024 included in this Annual Report on Form 10-K for the year ended December 31,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Marcum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Marlton, New Jersey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Davy, certify that:</w:t>
      </w:r>
    </w:p>
    <w:p>
      <w:pPr>
        <w:spacing w:after="0" w:line="225"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Ditto, certify that:</w:t>
      </w:r>
    </w:p>
    <w:p>
      <w:pPr>
        <w:spacing w:after="0" w:line="225"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10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Dean Ditto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Dean Ditto</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Banzai International, Inc. (the "Company") for the fiscal year ended December 31, 2025 as filed with the Securities and Exchange Commission on or about the date hereof (the “Report”), I, Joseph Davy, Chief Executive Officer of the Company, certify, pursuant to 18 U.S.C. Section 1350, as adopted pursuant to Section 906 of the Sarbanes-Oxley Act of 2002, that:</w:t>
      </w:r>
    </w:p>
    <w:p>
      <w:pPr>
        <w:spacing w:after="0" w:line="284"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5560" w:val="left"/>
          <w:tab w:leader="none" w:pos="804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Banzai International, Inc. (the "Company") for the fiscal year ended December 31, 2025, as filed with the Securities and Exchange Commission on or about the date hereof (the “Report”), I, Dean Ditto, Chief Financial Officer of the Company, certify, pursuant to 18 U.S.C. Section 1350, as adopted pursuant to Section 906 of the Sarbanes-Oxley Act of 2002, that:</w:t>
      </w:r>
    </w:p>
    <w:p>
      <w:pPr>
        <w:spacing w:after="0" w:line="284" w:lineRule="exact"/>
        <w:rPr>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5560" w:val="left"/>
          <w:tab w:leader="none" w:pos="810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Dean Ditto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Dean Ditto</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1166495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1."/>
      <w:numFmt w:val="decimal"/>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lowerRoman"/>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decimal"/>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2"/>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decimal"/>
      <w:start w:val="2"/>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1)"/>
      <w:numFmt w:val="lowerRoman"/>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1)"/>
      <w:numFmt w:val="lowerRoman"/>
      <w:start w:val="1"/>
    </w:lvl>
  </w:abstractNum>
  <w:abstractNum w:abstractNumId="64">
    <w:nsid w:val="168E121F"/>
    <w:multiLevelType w:val="hybridMultilevel"/>
    <w:lvl w:ilvl="0">
      <w:lvlJc w:val="left"/>
      <w:lvlText w:val="1"/>
      <w:numFmt w:val="bullet"/>
      <w:start w:val="1"/>
    </w:lvl>
  </w:abstractNum>
  <w:abstractNum w:abstractNumId="65">
    <w:nsid w:val="1EBA5D23"/>
    <w:multiLevelType w:val="hybridMultilevel"/>
    <w:lvl w:ilvl="0">
      <w:lvlJc w:val="left"/>
      <w:lvlText w:val="1"/>
      <w:numFmt w:val="bullet"/>
      <w:start w:val="1"/>
    </w:lvl>
  </w:abstractNum>
  <w:abstractNum w:abstractNumId="66">
    <w:nsid w:val="661E3F1E"/>
    <w:multiLevelType w:val="hybridMultilevel"/>
    <w:lvl w:ilvl="0">
      <w:lvlJc w:val="left"/>
      <w:lvlText w:val="2"/>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1)"/>
      <w:numFmt w:val="decimal"/>
      <w:start w:val="12"/>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203" Type="http://schemas.openxmlformats.org/officeDocument/2006/relationships/image" Target="media/image131.png"/><Relationship Id="rId204" Type="http://schemas.openxmlformats.org/officeDocument/2006/relationships/image" Target="media/image132.png"/><Relationship Id="rId220" Type="http://schemas.openxmlformats.org/officeDocument/2006/relationships/image" Target="media/image133.png"/><Relationship Id="rId221" Type="http://schemas.openxmlformats.org/officeDocument/2006/relationships/image" Target="media/image134.png"/><Relationship Id="rId222" Type="http://schemas.openxmlformats.org/officeDocument/2006/relationships/image" Target="media/image135.png"/><Relationship Id="rId223" Type="http://schemas.openxmlformats.org/officeDocument/2006/relationships/image" Target="media/image136.png"/><Relationship Id="rId224" Type="http://schemas.openxmlformats.org/officeDocument/2006/relationships/image" Target="media/image137.png"/><Relationship Id="rId225" Type="http://schemas.openxmlformats.org/officeDocument/2006/relationships/image" Target="media/image138.png"/><Relationship Id="rId226" Type="http://schemas.openxmlformats.org/officeDocument/2006/relationships/image" Target="media/image139.png"/><Relationship Id="rId227" Type="http://schemas.openxmlformats.org/officeDocument/2006/relationships/image" Target="media/image140.png"/><Relationship Id="rId228" Type="http://schemas.openxmlformats.org/officeDocument/2006/relationships/image" Target="media/image141.png"/><Relationship Id="rId229" Type="http://schemas.openxmlformats.org/officeDocument/2006/relationships/image" Target="media/image142.png"/><Relationship Id="rId230" Type="http://schemas.openxmlformats.org/officeDocument/2006/relationships/image" Target="media/image143.png"/><Relationship Id="rId231" Type="http://schemas.openxmlformats.org/officeDocument/2006/relationships/image" Target="media/image144.png"/><Relationship Id="rId232" Type="http://schemas.openxmlformats.org/officeDocument/2006/relationships/image" Target="media/image145.png"/><Relationship Id="rId233" Type="http://schemas.openxmlformats.org/officeDocument/2006/relationships/image" Target="media/image146.png"/><Relationship Id="rId234" Type="http://schemas.openxmlformats.org/officeDocument/2006/relationships/image" Target="media/image147.png"/><Relationship Id="rId235" Type="http://schemas.openxmlformats.org/officeDocument/2006/relationships/image" Target="media/image148.png"/><Relationship Id="rId236" Type="http://schemas.openxmlformats.org/officeDocument/2006/relationships/image" Target="media/image149.png"/><Relationship Id="rId237" Type="http://schemas.openxmlformats.org/officeDocument/2006/relationships/image" Target="media/image150.png"/><Relationship Id="rId238" Type="http://schemas.openxmlformats.org/officeDocument/2006/relationships/image" Target="media/image151.png"/><Relationship Id="rId239" Type="http://schemas.openxmlformats.org/officeDocument/2006/relationships/image" Target="media/image152.png"/><Relationship Id="rId240" Type="http://schemas.openxmlformats.org/officeDocument/2006/relationships/image" Target="media/image153.png"/><Relationship Id="rId241" Type="http://schemas.openxmlformats.org/officeDocument/2006/relationships/image" Target="media/image154.png"/><Relationship Id="rId242" Type="http://schemas.openxmlformats.org/officeDocument/2006/relationships/image" Target="media/image155.png"/><Relationship Id="rId243" Type="http://schemas.openxmlformats.org/officeDocument/2006/relationships/image" Target="media/image156.png"/><Relationship Id="rId244" Type="http://schemas.openxmlformats.org/officeDocument/2006/relationships/image" Target="media/image157.png"/><Relationship Id="rId245" Type="http://schemas.openxmlformats.org/officeDocument/2006/relationships/image" Target="media/image158.png"/><Relationship Id="rId246" Type="http://schemas.openxmlformats.org/officeDocument/2006/relationships/image" Target="media/image159.png"/><Relationship Id="rId247" Type="http://schemas.openxmlformats.org/officeDocument/2006/relationships/image" Target="media/image160.png"/><Relationship Id="rId248" Type="http://schemas.openxmlformats.org/officeDocument/2006/relationships/image" Target="media/image161.png"/><Relationship Id="rId249" Type="http://schemas.openxmlformats.org/officeDocument/2006/relationships/image" Target="media/image162.png"/><Relationship Id="rId250" Type="http://schemas.openxmlformats.org/officeDocument/2006/relationships/image" Target="media/image163.png"/><Relationship Id="rId251" Type="http://schemas.openxmlformats.org/officeDocument/2006/relationships/image" Target="media/image164.png"/><Relationship Id="rId252" Type="http://schemas.openxmlformats.org/officeDocument/2006/relationships/image" Target="media/image165.png"/><Relationship Id="rId253" Type="http://schemas.openxmlformats.org/officeDocument/2006/relationships/image" Target="media/image166.png"/><Relationship Id="rId254" Type="http://schemas.openxmlformats.org/officeDocument/2006/relationships/image" Target="media/image167.png"/><Relationship Id="rId255" Type="http://schemas.openxmlformats.org/officeDocument/2006/relationships/image" Target="media/image168.png"/><Relationship Id="rId256" Type="http://schemas.openxmlformats.org/officeDocument/2006/relationships/image" Target="media/image169.png"/><Relationship Id="rId257" Type="http://schemas.openxmlformats.org/officeDocument/2006/relationships/image" Target="media/image170.png"/><Relationship Id="rId258" Type="http://schemas.openxmlformats.org/officeDocument/2006/relationships/image" Target="media/image171.png"/><Relationship Id="rId259" Type="http://schemas.openxmlformats.org/officeDocument/2006/relationships/image" Target="media/image172.png"/><Relationship Id="rId260" Type="http://schemas.openxmlformats.org/officeDocument/2006/relationships/image" Target="media/image173.png"/><Relationship Id="rId261" Type="http://schemas.openxmlformats.org/officeDocument/2006/relationships/image" Target="media/image174.png"/><Relationship Id="rId262" Type="http://schemas.openxmlformats.org/officeDocument/2006/relationships/image" Target="media/image175.png"/><Relationship Id="rId263" Type="http://schemas.openxmlformats.org/officeDocument/2006/relationships/image" Target="media/image176.png"/><Relationship Id="rId264" Type="http://schemas.openxmlformats.org/officeDocument/2006/relationships/image" Target="media/image177.png"/><Relationship Id="rId265" Type="http://schemas.openxmlformats.org/officeDocument/2006/relationships/image" Target="media/image178.png"/><Relationship Id="rId266" Type="http://schemas.openxmlformats.org/officeDocument/2006/relationships/image" Target="media/image179.png"/><Relationship Id="rId267" Type="http://schemas.openxmlformats.org/officeDocument/2006/relationships/image" Target="media/image180.png"/><Relationship Id="rId268" Type="http://schemas.openxmlformats.org/officeDocument/2006/relationships/image" Target="media/image181.png"/><Relationship Id="rId269" Type="http://schemas.openxmlformats.org/officeDocument/2006/relationships/image" Target="media/image182.png"/><Relationship Id="rId270" Type="http://schemas.openxmlformats.org/officeDocument/2006/relationships/image" Target="media/image183.png"/><Relationship Id="rId271" Type="http://schemas.openxmlformats.org/officeDocument/2006/relationships/image" Target="media/image184.png"/><Relationship Id="rId272" Type="http://schemas.openxmlformats.org/officeDocument/2006/relationships/image" Target="media/image185.png"/><Relationship Id="rId273" Type="http://schemas.openxmlformats.org/officeDocument/2006/relationships/image" Target="media/image186.png"/><Relationship Id="rId274" Type="http://schemas.openxmlformats.org/officeDocument/2006/relationships/image" Target="media/image187.png"/><Relationship Id="rId275" Type="http://schemas.openxmlformats.org/officeDocument/2006/relationships/image" Target="media/image188.png"/><Relationship Id="rId276" Type="http://schemas.openxmlformats.org/officeDocument/2006/relationships/image" Target="media/image189.png"/><Relationship Id="rId277" Type="http://schemas.openxmlformats.org/officeDocument/2006/relationships/image" Target="media/image190.png"/><Relationship Id="rId278" Type="http://schemas.openxmlformats.org/officeDocument/2006/relationships/image" Target="media/image191.png"/><Relationship Id="rId279" Type="http://schemas.openxmlformats.org/officeDocument/2006/relationships/image" Target="media/image192.png"/><Relationship Id="rId280" Type="http://schemas.openxmlformats.org/officeDocument/2006/relationships/image" Target="media/image193.png"/><Relationship Id="rId281" Type="http://schemas.openxmlformats.org/officeDocument/2006/relationships/image" Target="media/image194.png"/><Relationship Id="rId282" Type="http://schemas.openxmlformats.org/officeDocument/2006/relationships/image" Target="media/image195.png"/><Relationship Id="rId283" Type="http://schemas.openxmlformats.org/officeDocument/2006/relationships/image" Target="media/image196.png"/><Relationship Id="rId284" Type="http://schemas.openxmlformats.org/officeDocument/2006/relationships/image" Target="media/image197.png"/><Relationship Id="rId285" Type="http://schemas.openxmlformats.org/officeDocument/2006/relationships/image" Target="media/image198.png"/><Relationship Id="rId286" Type="http://schemas.openxmlformats.org/officeDocument/2006/relationships/image" Target="media/image199.png"/><Relationship Id="rId287" Type="http://schemas.openxmlformats.org/officeDocument/2006/relationships/image" Target="media/image200.png"/><Relationship Id="rId288" Type="http://schemas.openxmlformats.org/officeDocument/2006/relationships/image" Target="media/image201.png"/><Relationship Id="rId289" Type="http://schemas.openxmlformats.org/officeDocument/2006/relationships/image" Target="media/image202.png"/><Relationship Id="rId290" Type="http://schemas.openxmlformats.org/officeDocument/2006/relationships/image" Target="media/image203.png"/><Relationship Id="rId291" Type="http://schemas.openxmlformats.org/officeDocument/2006/relationships/image" Target="media/image204.png"/><Relationship Id="rId292" Type="http://schemas.openxmlformats.org/officeDocument/2006/relationships/image" Target="media/image205.png"/><Relationship Id="rId293" Type="http://schemas.openxmlformats.org/officeDocument/2006/relationships/image" Target="media/image206.png"/><Relationship Id="rId294" Type="http://schemas.openxmlformats.org/officeDocument/2006/relationships/image" Target="media/image207.png"/><Relationship Id="rId295" Type="http://schemas.openxmlformats.org/officeDocument/2006/relationships/image" Target="media/image208.png"/><Relationship Id="rId296" Type="http://schemas.openxmlformats.org/officeDocument/2006/relationships/image" Target="media/image209.png"/><Relationship Id="rId297" Type="http://schemas.openxmlformats.org/officeDocument/2006/relationships/image" Target="media/image210.png"/><Relationship Id="rId298" Type="http://schemas.openxmlformats.org/officeDocument/2006/relationships/image" Target="media/image211.png"/><Relationship Id="rId299" Type="http://schemas.openxmlformats.org/officeDocument/2006/relationships/image" Target="media/image212.png"/><Relationship Id="rId300" Type="http://schemas.openxmlformats.org/officeDocument/2006/relationships/image" Target="media/image213.png"/><Relationship Id="rId301" Type="http://schemas.openxmlformats.org/officeDocument/2006/relationships/image" Target="media/image214.png"/><Relationship Id="rId302" Type="http://schemas.openxmlformats.org/officeDocument/2006/relationships/image" Target="media/image215.png"/><Relationship Id="rId303" Type="http://schemas.openxmlformats.org/officeDocument/2006/relationships/image" Target="media/image216.png"/><Relationship Id="rId304" Type="http://schemas.openxmlformats.org/officeDocument/2006/relationships/image" Target="media/image217.png"/><Relationship Id="rId305" Type="http://schemas.openxmlformats.org/officeDocument/2006/relationships/image" Target="media/image218.png"/><Relationship Id="rId306" Type="http://schemas.openxmlformats.org/officeDocument/2006/relationships/image" Target="media/image219.png"/><Relationship Id="rId307" Type="http://schemas.openxmlformats.org/officeDocument/2006/relationships/image" Target="media/image220.png"/><Relationship Id="rId308" Type="http://schemas.openxmlformats.org/officeDocument/2006/relationships/image" Target="media/image221.png"/><Relationship Id="rId309" Type="http://schemas.openxmlformats.org/officeDocument/2006/relationships/image" Target="media/image222.png"/><Relationship Id="rId310" Type="http://schemas.openxmlformats.org/officeDocument/2006/relationships/image" Target="media/image223.png"/><Relationship Id="rId311" Type="http://schemas.openxmlformats.org/officeDocument/2006/relationships/image" Target="media/image224.png"/><Relationship Id="rId312" Type="http://schemas.openxmlformats.org/officeDocument/2006/relationships/image" Target="media/image225.png"/><Relationship Id="rId313" Type="http://schemas.openxmlformats.org/officeDocument/2006/relationships/image" Target="media/image226.png"/><Relationship Id="rId314" Type="http://schemas.openxmlformats.org/officeDocument/2006/relationships/image" Target="media/image227.png"/><Relationship Id="rId315" Type="http://schemas.openxmlformats.org/officeDocument/2006/relationships/image" Target="media/image228.png"/><Relationship Id="rId316" Type="http://schemas.openxmlformats.org/officeDocument/2006/relationships/image" Target="media/image229.png"/><Relationship Id="rId317" Type="http://schemas.openxmlformats.org/officeDocument/2006/relationships/image" Target="media/image230.png"/><Relationship Id="rId318" Type="http://schemas.openxmlformats.org/officeDocument/2006/relationships/image" Target="media/image231.png"/><Relationship Id="rId319" Type="http://schemas.openxmlformats.org/officeDocument/2006/relationships/image" Target="media/image232.png"/><Relationship Id="rId320" Type="http://schemas.openxmlformats.org/officeDocument/2006/relationships/image" Target="media/image233.png"/><Relationship Id="rId321" Type="http://schemas.openxmlformats.org/officeDocument/2006/relationships/image" Target="media/image234.png"/><Relationship Id="rId322" Type="http://schemas.openxmlformats.org/officeDocument/2006/relationships/image" Target="media/image235.png"/><Relationship Id="rId323" Type="http://schemas.openxmlformats.org/officeDocument/2006/relationships/image" Target="media/image236.png"/><Relationship Id="rId324" Type="http://schemas.openxmlformats.org/officeDocument/2006/relationships/image" Target="media/image237.png"/><Relationship Id="rId325" Type="http://schemas.openxmlformats.org/officeDocument/2006/relationships/image" Target="media/image238.png"/><Relationship Id="rId326" Type="http://schemas.openxmlformats.org/officeDocument/2006/relationships/image" Target="media/image239.png"/><Relationship Id="rId327" Type="http://schemas.openxmlformats.org/officeDocument/2006/relationships/image" Target="media/image240.png"/><Relationship Id="rId328" Type="http://schemas.openxmlformats.org/officeDocument/2006/relationships/image" Target="media/image241.png"/><Relationship Id="rId329" Type="http://schemas.openxmlformats.org/officeDocument/2006/relationships/image" Target="media/image242.png"/><Relationship Id="rId330" Type="http://schemas.openxmlformats.org/officeDocument/2006/relationships/image" Target="media/image243.png"/><Relationship Id="rId331" Type="http://schemas.openxmlformats.org/officeDocument/2006/relationships/image" Target="media/image244.png"/><Relationship Id="rId332" Type="http://schemas.openxmlformats.org/officeDocument/2006/relationships/image" Target="media/image245.png"/><Relationship Id="rId333" Type="http://schemas.openxmlformats.org/officeDocument/2006/relationships/image" Target="media/image246.png"/><Relationship Id="rId334" Type="http://schemas.openxmlformats.org/officeDocument/2006/relationships/image" Target="media/image247.png"/><Relationship Id="rId335" Type="http://schemas.openxmlformats.org/officeDocument/2006/relationships/image" Target="media/image248.png"/><Relationship Id="rId336" Type="http://schemas.openxmlformats.org/officeDocument/2006/relationships/image" Target="media/image249.png"/><Relationship Id="rId337" Type="http://schemas.openxmlformats.org/officeDocument/2006/relationships/image" Target="media/image250.png"/><Relationship Id="rId338" Type="http://schemas.openxmlformats.org/officeDocument/2006/relationships/image" Target="media/image251.png"/><Relationship Id="rId339" Type="http://schemas.openxmlformats.org/officeDocument/2006/relationships/image" Target="media/image252.png"/><Relationship Id="rId340" Type="http://schemas.openxmlformats.org/officeDocument/2006/relationships/image" Target="media/image253.png"/><Relationship Id="rId341" Type="http://schemas.openxmlformats.org/officeDocument/2006/relationships/image" Target="media/image254.png"/><Relationship Id="rId342" Type="http://schemas.openxmlformats.org/officeDocument/2006/relationships/image" Target="media/image255.png"/><Relationship Id="rId343" Type="http://schemas.openxmlformats.org/officeDocument/2006/relationships/image" Target="media/image256.png"/><Relationship Id="rId344" Type="http://schemas.openxmlformats.org/officeDocument/2006/relationships/image" Target="media/image257.png"/><Relationship Id="rId345" Type="http://schemas.openxmlformats.org/officeDocument/2006/relationships/image" Target="media/image258.png"/><Relationship Id="rId346" Type="http://schemas.openxmlformats.org/officeDocument/2006/relationships/image" Target="media/image259.png"/><Relationship Id="rId347" Type="http://schemas.openxmlformats.org/officeDocument/2006/relationships/image" Target="media/image260.png"/><Relationship Id="rId348" Type="http://schemas.openxmlformats.org/officeDocument/2006/relationships/image" Target="media/image261.png"/><Relationship Id="rId349" Type="http://schemas.openxmlformats.org/officeDocument/2006/relationships/image" Target="media/image262.png"/><Relationship Id="rId350" Type="http://schemas.openxmlformats.org/officeDocument/2006/relationships/image" Target="media/image263.png"/><Relationship Id="rId351" Type="http://schemas.openxmlformats.org/officeDocument/2006/relationships/image" Target="media/image264.png"/><Relationship Id="rId352" Type="http://schemas.openxmlformats.org/officeDocument/2006/relationships/image" Target="media/image265.png"/><Relationship Id="rId353" Type="http://schemas.openxmlformats.org/officeDocument/2006/relationships/image" Target="media/image266.png"/><Relationship Id="rId354" Type="http://schemas.openxmlformats.org/officeDocument/2006/relationships/image" Target="media/image267.png"/><Relationship Id="rId355" Type="http://schemas.openxmlformats.org/officeDocument/2006/relationships/image" Target="media/image268.png"/><Relationship Id="rId356" Type="http://schemas.openxmlformats.org/officeDocument/2006/relationships/image" Target="media/image269.png"/><Relationship Id="rId357" Type="http://schemas.openxmlformats.org/officeDocument/2006/relationships/image" Target="media/image270.png"/><Relationship Id="rId358" Type="http://schemas.openxmlformats.org/officeDocument/2006/relationships/image" Target="media/image271.png"/><Relationship Id="rId359" Type="http://schemas.openxmlformats.org/officeDocument/2006/relationships/image" Target="media/image272.png"/><Relationship Id="rId360" Type="http://schemas.openxmlformats.org/officeDocument/2006/relationships/image" Target="media/image273.png"/><Relationship Id="rId361" Type="http://schemas.openxmlformats.org/officeDocument/2006/relationships/image" Target="media/image274.png"/><Relationship Id="rId362" Type="http://schemas.openxmlformats.org/officeDocument/2006/relationships/image" Target="media/image275.png"/><Relationship Id="rId363" Type="http://schemas.openxmlformats.org/officeDocument/2006/relationships/image" Target="media/image276.png"/><Relationship Id="rId364" Type="http://schemas.openxmlformats.org/officeDocument/2006/relationships/image" Target="media/image277.png"/><Relationship Id="rId365" Type="http://schemas.openxmlformats.org/officeDocument/2006/relationships/image" Target="media/image278.png"/><Relationship Id="rId366" Type="http://schemas.openxmlformats.org/officeDocument/2006/relationships/image" Target="media/image279.png"/><Relationship Id="rId367" Type="http://schemas.openxmlformats.org/officeDocument/2006/relationships/image" Target="media/image280.png"/><Relationship Id="rId368" Type="http://schemas.openxmlformats.org/officeDocument/2006/relationships/image" Target="media/image281.png"/><Relationship Id="rId369" Type="http://schemas.openxmlformats.org/officeDocument/2006/relationships/image" Target="media/image282.png"/><Relationship Id="rId370" Type="http://schemas.openxmlformats.org/officeDocument/2006/relationships/image" Target="media/image283.png"/><Relationship Id="rId371" Type="http://schemas.openxmlformats.org/officeDocument/2006/relationships/image" Target="media/image284.png"/><Relationship Id="rId372" Type="http://schemas.openxmlformats.org/officeDocument/2006/relationships/image" Target="media/image285.png"/><Relationship Id="rId373" Type="http://schemas.openxmlformats.org/officeDocument/2006/relationships/image" Target="media/image286.png"/><Relationship Id="rId374" Type="http://schemas.openxmlformats.org/officeDocument/2006/relationships/image" Target="media/image287.png"/><Relationship Id="rId375" Type="http://schemas.openxmlformats.org/officeDocument/2006/relationships/image" Target="media/image288.png"/><Relationship Id="rId376" Type="http://schemas.openxmlformats.org/officeDocument/2006/relationships/image" Target="media/image289.png"/><Relationship Id="rId377" Type="http://schemas.openxmlformats.org/officeDocument/2006/relationships/image" Target="media/image290.png"/><Relationship Id="rId378" Type="http://schemas.openxmlformats.org/officeDocument/2006/relationships/image" Target="media/image291.png"/><Relationship Id="rId379" Type="http://schemas.openxmlformats.org/officeDocument/2006/relationships/image" Target="media/image292.png"/><Relationship Id="rId380" Type="http://schemas.openxmlformats.org/officeDocument/2006/relationships/image" Target="media/image293.png"/><Relationship Id="rId381" Type="http://schemas.openxmlformats.org/officeDocument/2006/relationships/image" Target="media/image294.png"/><Relationship Id="rId382" Type="http://schemas.openxmlformats.org/officeDocument/2006/relationships/image" Target="media/image295.png"/><Relationship Id="rId383" Type="http://schemas.openxmlformats.org/officeDocument/2006/relationships/image" Target="media/image296.png"/><Relationship Id="rId384" Type="http://schemas.openxmlformats.org/officeDocument/2006/relationships/image" Target="media/image297.png"/><Relationship Id="rId385" Type="http://schemas.openxmlformats.org/officeDocument/2006/relationships/image" Target="media/image298.png"/><Relationship Id="rId386" Type="http://schemas.openxmlformats.org/officeDocument/2006/relationships/image" Target="media/image299.png"/><Relationship Id="rId387" Type="http://schemas.openxmlformats.org/officeDocument/2006/relationships/image" Target="media/image300.png"/><Relationship Id="rId388" Type="http://schemas.openxmlformats.org/officeDocument/2006/relationships/image" Target="media/image301.png"/><Relationship Id="rId389" Type="http://schemas.openxmlformats.org/officeDocument/2006/relationships/image" Target="media/image302.png"/><Relationship Id="rId390" Type="http://schemas.openxmlformats.org/officeDocument/2006/relationships/image" Target="media/image303.png"/><Relationship Id="rId391" Type="http://schemas.openxmlformats.org/officeDocument/2006/relationships/image" Target="media/image304.png"/><Relationship Id="rId392" Type="http://schemas.openxmlformats.org/officeDocument/2006/relationships/image" Target="media/image305.png"/><Relationship Id="rId393" Type="http://schemas.openxmlformats.org/officeDocument/2006/relationships/image" Target="media/image306.png"/><Relationship Id="rId394" Type="http://schemas.openxmlformats.org/officeDocument/2006/relationships/image" Target="media/image307.png"/><Relationship Id="rId395" Type="http://schemas.openxmlformats.org/officeDocument/2006/relationships/image" Target="media/image308.png"/><Relationship Id="rId396" Type="http://schemas.openxmlformats.org/officeDocument/2006/relationships/image" Target="media/image309.png"/><Relationship Id="rId397" Type="http://schemas.openxmlformats.org/officeDocument/2006/relationships/image" Target="media/image310.png"/><Relationship Id="rId398" Type="http://schemas.openxmlformats.org/officeDocument/2006/relationships/image" Target="media/image311.png"/><Relationship Id="rId399" Type="http://schemas.openxmlformats.org/officeDocument/2006/relationships/image" Target="media/image312.png"/><Relationship Id="rId400" Type="http://schemas.openxmlformats.org/officeDocument/2006/relationships/image" Target="media/image313.png"/><Relationship Id="rId401" Type="http://schemas.openxmlformats.org/officeDocument/2006/relationships/image" Target="media/image314.png"/><Relationship Id="rId402" Type="http://schemas.openxmlformats.org/officeDocument/2006/relationships/image" Target="media/image315.png"/><Relationship Id="rId403" Type="http://schemas.openxmlformats.org/officeDocument/2006/relationships/image" Target="media/image316.png"/><Relationship Id="rId404" Type="http://schemas.openxmlformats.org/officeDocument/2006/relationships/image" Target="media/image317.png"/><Relationship Id="rId405" Type="http://schemas.openxmlformats.org/officeDocument/2006/relationships/image" Target="media/image318.png"/><Relationship Id="rId406" Type="http://schemas.openxmlformats.org/officeDocument/2006/relationships/image" Target="media/image319.png"/><Relationship Id="rId407" Type="http://schemas.openxmlformats.org/officeDocument/2006/relationships/image" Target="media/image320.png"/><Relationship Id="rId408" Type="http://schemas.openxmlformats.org/officeDocument/2006/relationships/image" Target="media/image321.png"/><Relationship Id="rId409" Type="http://schemas.openxmlformats.org/officeDocument/2006/relationships/image" Target="media/image322.png"/><Relationship Id="rId410" Type="http://schemas.openxmlformats.org/officeDocument/2006/relationships/image" Target="media/image323.png"/><Relationship Id="rId411" Type="http://schemas.openxmlformats.org/officeDocument/2006/relationships/image" Target="media/image324.png"/><Relationship Id="rId412" Type="http://schemas.openxmlformats.org/officeDocument/2006/relationships/image" Target="media/image325.png"/><Relationship Id="rId413" Type="http://schemas.openxmlformats.org/officeDocument/2006/relationships/image" Target="media/image326.png"/><Relationship Id="rId414" Type="http://schemas.openxmlformats.org/officeDocument/2006/relationships/image" Target="media/image327.png"/><Relationship Id="rId415" Type="http://schemas.openxmlformats.org/officeDocument/2006/relationships/image" Target="media/image328.png"/><Relationship Id="rId416" Type="http://schemas.openxmlformats.org/officeDocument/2006/relationships/image" Target="media/image329.png"/><Relationship Id="rId417" Type="http://schemas.openxmlformats.org/officeDocument/2006/relationships/image" Target="media/image330.png"/><Relationship Id="rId418" Type="http://schemas.openxmlformats.org/officeDocument/2006/relationships/image" Target="media/image331.png"/><Relationship Id="rId419" Type="http://schemas.openxmlformats.org/officeDocument/2006/relationships/image" Target="media/image332.png"/><Relationship Id="rId420" Type="http://schemas.openxmlformats.org/officeDocument/2006/relationships/image" Target="media/image333.png"/><Relationship Id="rId421" Type="http://schemas.openxmlformats.org/officeDocument/2006/relationships/image" Target="media/image334.png"/><Relationship Id="rId422" Type="http://schemas.openxmlformats.org/officeDocument/2006/relationships/image" Target="media/image335.png"/><Relationship Id="rId423" Type="http://schemas.openxmlformats.org/officeDocument/2006/relationships/image" Target="media/image336.png"/><Relationship Id="rId424" Type="http://schemas.openxmlformats.org/officeDocument/2006/relationships/image" Target="media/image337.png"/><Relationship Id="rId425" Type="http://schemas.openxmlformats.org/officeDocument/2006/relationships/image" Target="media/image338.png"/><Relationship Id="rId426" Type="http://schemas.openxmlformats.org/officeDocument/2006/relationships/image" Target="media/image339.png"/><Relationship Id="rId427" Type="http://schemas.openxmlformats.org/officeDocument/2006/relationships/image" Target="media/image340.png"/><Relationship Id="rId428" Type="http://schemas.openxmlformats.org/officeDocument/2006/relationships/image" Target="media/image341.png"/><Relationship Id="rId429" Type="http://schemas.openxmlformats.org/officeDocument/2006/relationships/image" Target="media/image342.png"/><Relationship Id="rId430" Type="http://schemas.openxmlformats.org/officeDocument/2006/relationships/image" Target="media/image343.png"/><Relationship Id="rId431" Type="http://schemas.openxmlformats.org/officeDocument/2006/relationships/image" Target="media/image344.png"/><Relationship Id="rId432" Type="http://schemas.openxmlformats.org/officeDocument/2006/relationships/image" Target="media/image345.png"/><Relationship Id="rId134" Type="http://schemas.openxmlformats.org/officeDocument/2006/relationships/hyperlink" Target="https://www.sec.gov/Archives/edgar/data/1826011/000119312523225201/d441541ds4.htm#rom441541_40" TargetMode="External"/><Relationship Id="rId135" Type="http://schemas.openxmlformats.org/officeDocument/2006/relationships/hyperlink" Target="https://www.sec.gov/Archives/edgar/data/1826011/000119312523225201/d441541ds4.htm#rom441541_41" TargetMode="External"/><Relationship Id="rId136" Type="http://schemas.openxmlformats.org/officeDocument/2006/relationships/hyperlink" Target="https://www.sec.gov/Archives/edgar/data/1826011/000149315224050696/ex2-1.htm" TargetMode="External"/><Relationship Id="rId137" Type="http://schemas.openxmlformats.org/officeDocument/2006/relationships/hyperlink" Target="https://www.sec.gov/Archives/edgar/data/1826011/000149315224050891/ex2-1.htm" TargetMode="External"/><Relationship Id="rId138" Type="http://schemas.openxmlformats.org/officeDocument/2006/relationships/hyperlink" Target="https://www.sec.gov/Archives/edgar/data/1826011/000149315225003319/ex2-1.htm" TargetMode="External"/><Relationship Id="rId139" Type="http://schemas.openxmlformats.org/officeDocument/2006/relationships/hyperlink" Target="https://www.sec.gov/Archives/edgar/data/1826011/000119312523300033/d449527dex31.htm" TargetMode="External"/><Relationship Id="rId140" Type="http://schemas.openxmlformats.org/officeDocument/2006/relationships/hyperlink" Target="https://www.sec.gov/Archives/edgar/data/1826011/000119312523300033/d449527dex32.htm" TargetMode="External"/><Relationship Id="rId141" Type="http://schemas.openxmlformats.org/officeDocument/2006/relationships/hyperlink" Target="https://www.sec.gov/Archives/edgar/data/1826011/000149315225009079/ex3-2.htm" TargetMode="External"/><Relationship Id="rId142" Type="http://schemas.openxmlformats.org/officeDocument/2006/relationships/hyperlink" Target="https://www.sec.gov/Archives/edgar/data/1826011/000149315224036413/ex3-1.htm" TargetMode="External"/><Relationship Id="rId143" Type="http://schemas.openxmlformats.org/officeDocument/2006/relationships/hyperlink" Target="https://www.sec.gov/Archives/edgar/data/1826011/000149315225009079/ex3-1.htm" TargetMode="External"/><Relationship Id="rId144" Type="http://schemas.openxmlformats.org/officeDocument/2006/relationships/hyperlink" Target="https://www.sec.gov/Archives/edgar/data/1826011/000164117225017861/ex4-1.htm" TargetMode="External"/><Relationship Id="rId145" Type="http://schemas.openxmlformats.org/officeDocument/2006/relationships/hyperlink" Target="https://www.sec.gov/Archives/edgar/data/1826011/000149315225028196/ex3-1.htm" TargetMode="External"/><Relationship Id="rId146" Type="http://schemas.openxmlformats.org/officeDocument/2006/relationships/hyperlink" Target="https://www.sec.gov/Archives/edgar/data/1826011/000119312523300033/d449527dex41.htm" TargetMode="External"/><Relationship Id="rId147" Type="http://schemas.openxmlformats.org/officeDocument/2006/relationships/hyperlink" Target="https://www.sec.gov/Archives/edgar/data/1826011/000119312523300033/d449527dex42.htm" TargetMode="External"/><Relationship Id="rId148" Type="http://schemas.openxmlformats.org/officeDocument/2006/relationships/hyperlink" Target="https://www.sec.gov/Archives/edgar/data/1826011/000119312523300033/d449527dex43.htm" TargetMode="External"/><Relationship Id="rId149" Type="http://schemas.openxmlformats.org/officeDocument/2006/relationships/hyperlink" Target="https://www.sec.gov/Archives/edgar/data/1826011/000121390020044825/ea132294ex4-1_7gcholdings.htm" TargetMode="External"/><Relationship Id="rId150" Type="http://schemas.openxmlformats.org/officeDocument/2006/relationships/hyperlink" Target="https://www.sec.gov/Archives/edgar/data/1826011/000119312523225201/d441541dex47.htm" TargetMode="External"/><Relationship Id="rId151" Type="http://schemas.openxmlformats.org/officeDocument/2006/relationships/hyperlink" Target="https://www.sec.gov/Archives/edgar/data/1826011/000119312523300033/d449527dex45.htm" TargetMode="External"/><Relationship Id="rId152" Type="http://schemas.openxmlformats.org/officeDocument/2006/relationships/hyperlink" Target="https://www.sec.gov/Archives/edgar/data/1826011/000119312523300033/d449527dex47.htm" TargetMode="External"/><Relationship Id="rId153" Type="http://schemas.openxmlformats.org/officeDocument/2006/relationships/hyperlink" Target="https://www.sec.gov/Archives/edgar/data/1826011/000119312523297160/d564833dex102.htm" TargetMode="External"/><Relationship Id="rId154" Type="http://schemas.openxmlformats.org/officeDocument/2006/relationships/hyperlink" Target="https://www.sec.gov/Archives/edgar/data/1826011/000119312524023808/d567008dex411.htm" TargetMode="External"/><Relationship Id="rId157" Type="http://schemas.openxmlformats.org/officeDocument/2006/relationships/hyperlink" Target="https://www.sec.gov/Archives/edgar/data/1826011/000095017025054303/bnzi-ex4_10.htm" TargetMode="External"/><Relationship Id="rId158" Type="http://schemas.openxmlformats.org/officeDocument/2006/relationships/hyperlink" Target="https://www.sec.gov/Archives/edgar/data/1826011/000149315224050696/ex3-1.htm" TargetMode="External"/><Relationship Id="rId159" Type="http://schemas.openxmlformats.org/officeDocument/2006/relationships/hyperlink" Target="https://www.sec.gov/Archives/edgar/data/1826011/000164117225017861/ex4-2.htm" TargetMode="External"/><Relationship Id="rId160" Type="http://schemas.openxmlformats.org/officeDocument/2006/relationships/hyperlink" Target="https://www.sec.gov/Archives/edgar/data/1826011/000121390020044825/ea132294ex10-1_7gcholdings.htm" TargetMode="External"/><Relationship Id="rId161" Type="http://schemas.openxmlformats.org/officeDocument/2006/relationships/hyperlink" Target="https://www.sec.gov/Archives/edgar/data/1826011/000121390020044825/ea132294ex10-5_7gcholdings.htm" TargetMode="External"/><Relationship Id="rId162" Type="http://schemas.openxmlformats.org/officeDocument/2006/relationships/hyperlink" Target="https://www.sec.gov/Archives/edgar/data/1826011/000119312523300033/d449527dex106.htm" TargetMode="External"/><Relationship Id="rId163" Type="http://schemas.openxmlformats.org/officeDocument/2006/relationships/hyperlink" Target="https://www.sec.gov/Archives/edgar/data/1826011/000119312523225201/d441541ds4.htm#rom441541_44" TargetMode="External"/><Relationship Id="rId164" Type="http://schemas.openxmlformats.org/officeDocument/2006/relationships/hyperlink" Target="https://www.sec.gov/Archives/edgar/data/1826011/000119312524076619/d810637dex991.htm" TargetMode="External"/><Relationship Id="rId165" Type="http://schemas.openxmlformats.org/officeDocument/2006/relationships/hyperlink" Target="https://www.sec.gov/Archives/edgar/data/1826011/000119312524076619/d810637dex992.htm" TargetMode="External"/><Relationship Id="rId166" Type="http://schemas.openxmlformats.org/officeDocument/2006/relationships/hyperlink" Target="https://www.sec.gov/Archives/edgar/data/1826011/000119312523225201/d441541dex1016.htm" TargetMode="External"/><Relationship Id="rId167" Type="http://schemas.openxmlformats.org/officeDocument/2006/relationships/hyperlink" Target="https://www.sec.gov/Archives/edgar/data/1826011/000119312523225201/d441541dex1018.htm" TargetMode="External"/><Relationship Id="rId168" Type="http://schemas.openxmlformats.org/officeDocument/2006/relationships/hyperlink" Target="https://www.sec.gov/Archives/edgar/data/1826011/000119312523250809/d548057dex101.htm" TargetMode="External"/><Relationship Id="rId169" Type="http://schemas.openxmlformats.org/officeDocument/2006/relationships/hyperlink" Target="https://www.sec.gov/Archives/edgar/data/1826011/000119312523297160/d564833dex101.htm" TargetMode="External"/><Relationship Id="rId170" Type="http://schemas.openxmlformats.org/officeDocument/2006/relationships/hyperlink" Target="https://www.sec.gov/Archives/edgar/data/1826011/000119312523297160/d564833dex103.htm" TargetMode="External"/><Relationship Id="rId171" Type="http://schemas.openxmlformats.org/officeDocument/2006/relationships/hyperlink" Target="https://www.sec.gov/Archives/edgar/data/1826011/000119312523300033/d449527dex105.htm" TargetMode="External"/><Relationship Id="rId172" Type="http://schemas.openxmlformats.org/officeDocument/2006/relationships/hyperlink" Target="https://www.sec.gov/Archives/edgar/data/1826011/000119312523300033/d449527dex108.htm" TargetMode="External"/><Relationship Id="rId173" Type="http://schemas.openxmlformats.org/officeDocument/2006/relationships/hyperlink" Target="https://www.sec.gov/Archives/edgar/data/1826011/000119312524023808/d567008dex1027.htm" TargetMode="External"/><Relationship Id="rId174" Type="http://schemas.openxmlformats.org/officeDocument/2006/relationships/hyperlink" Target="https://www.sec.gov/Archives/edgar/data/1826011/000119312524028341/d744391dex104.htm" TargetMode="External"/><Relationship Id="rId175" Type="http://schemas.openxmlformats.org/officeDocument/2006/relationships/hyperlink" Target="https://www.sec.gov/Archives/edgar/data/1826011/000119312524023808/d567008dex1029.htm" TargetMode="External"/><Relationship Id="rId176" Type="http://schemas.openxmlformats.org/officeDocument/2006/relationships/hyperlink" Target="https://www.sec.gov/Archives/edgar/data/1826011/000149315225004641/ex10-1.htm" TargetMode="External"/><Relationship Id="rId179" Type="http://schemas.openxmlformats.org/officeDocument/2006/relationships/hyperlink" Target="https://www.sec.gov/Archives/edgar/data/1826011/000149315224038577/ex10-19.htm" TargetMode="External"/><Relationship Id="rId180" Type="http://schemas.openxmlformats.org/officeDocument/2006/relationships/hyperlink" Target="https://www.sec.gov/Archives/edgar/data/1826011/000119312524139915/d842344dex992.htm" TargetMode="External"/><Relationship Id="rId181" Type="http://schemas.openxmlformats.org/officeDocument/2006/relationships/hyperlink" Target="https://www.sec.gov/Archives/edgar/data/1826011/000149315224037198/ex4-12.htm" TargetMode="External"/><Relationship Id="rId182" Type="http://schemas.openxmlformats.org/officeDocument/2006/relationships/hyperlink" Target="https://www.sec.gov/Archives/edgar/data/1826011/000119312524148209/d647173dex101.htm" TargetMode="External"/><Relationship Id="rId183" Type="http://schemas.openxmlformats.org/officeDocument/2006/relationships/hyperlink" Target="https://www.sec.gov/Archives/edgar/data/1826011/000149315224038522/ex10-1.htm" TargetMode="External"/><Relationship Id="rId184" Type="http://schemas.openxmlformats.org/officeDocument/2006/relationships/hyperlink" Target="https://www.sec.gov/Archives/edgar/data/1826011/000149315224038146/ex10-21.htm" TargetMode="External"/><Relationship Id="rId185" Type="http://schemas.openxmlformats.org/officeDocument/2006/relationships/hyperlink" Target="https://www.sec.gov/Archives/edgar/data/1826011/000149315224038146/ex10-20.htm" TargetMode="External"/><Relationship Id="rId186" Type="http://schemas.openxmlformats.org/officeDocument/2006/relationships/hyperlink" Target="https://www.sec.gov/Archives/edgar/data/1826011/000149315224038146/ex10-17.htm" TargetMode="External"/><Relationship Id="rId187" Type="http://schemas.openxmlformats.org/officeDocument/2006/relationships/hyperlink" Target="https://www.sec.gov/Archives/edgar/data/1826011/000149315224038146/ex10-25.htm" TargetMode="External"/><Relationship Id="rId188" Type="http://schemas.openxmlformats.org/officeDocument/2006/relationships/hyperlink" Target="https://www.sec.gov/Archives/edgar/data/1826011/000149315224038146/ex10-24.htm" TargetMode="External"/><Relationship Id="rId189" Type="http://schemas.openxmlformats.org/officeDocument/2006/relationships/hyperlink" Target="https://www.sec.gov/Archives/edgar/data/1826011/000149315224038522/ex10-2.htm" TargetMode="External"/><Relationship Id="rId190" Type="http://schemas.openxmlformats.org/officeDocument/2006/relationships/hyperlink" Target="https://www.sec.gov/Archives/edgar/data/1826011/000149315224041316/ex10-30.htm" TargetMode="External"/><Relationship Id="rId191" Type="http://schemas.openxmlformats.org/officeDocument/2006/relationships/hyperlink" Target="https://www.sec.gov/Archives/edgar/data/1826011/000149315224038146/ex10-6.htm" TargetMode="External"/><Relationship Id="rId192" Type="http://schemas.openxmlformats.org/officeDocument/2006/relationships/hyperlink" Target="https://www.sec.gov/Archives/edgar/data/1826011/000149315224041316/ex10-35.htm" TargetMode="External"/><Relationship Id="rId193" Type="http://schemas.openxmlformats.org/officeDocument/2006/relationships/hyperlink" Target="https://www.sec.gov/Archives/edgar/data/1826011/000149315224041316/ex10-41.htm" TargetMode="External"/><Relationship Id="rId194" Type="http://schemas.openxmlformats.org/officeDocument/2006/relationships/hyperlink" Target="https://www.sec.gov/Archives/edgar/data/1826011/000149315224049374/ex10-1.htm" TargetMode="External"/><Relationship Id="rId195" Type="http://schemas.openxmlformats.org/officeDocument/2006/relationships/hyperlink" Target="https://www.sec.gov/Archives/edgar/data/1826011/000149315224049374/ex10-2.htm" TargetMode="External"/><Relationship Id="rId196" Type="http://schemas.openxmlformats.org/officeDocument/2006/relationships/hyperlink" Target="https://www.sec.gov/Archives/edgar/data/1826011/000149315225003319/ex10-1.htm" TargetMode="External"/><Relationship Id="rId197" Type="http://schemas.openxmlformats.org/officeDocument/2006/relationships/hyperlink" Target="https://www.sec.gov/Archives/edgar/data/1826011/000149315225003319/ex10-2.htm" TargetMode="External"/><Relationship Id="rId198" Type="http://schemas.openxmlformats.org/officeDocument/2006/relationships/hyperlink" Target="https://www.sec.gov/Archives/edgar/data/1826011/000149315225003319/ex10-3.htm" TargetMode="External"/><Relationship Id="rId199" Type="http://schemas.openxmlformats.org/officeDocument/2006/relationships/hyperlink" Target="https://www.sec.gov/Archives/edgar/data/1826011/000149315225003319/ex10-4.htm" TargetMode="External"/><Relationship Id="rId200" Type="http://schemas.openxmlformats.org/officeDocument/2006/relationships/hyperlink" Target="https://www.sec.gov/Archives/edgar/data/1826011/000149315225003319/ex10-5.htm" TargetMode="External"/><Relationship Id="rId201" Type="http://schemas.openxmlformats.org/officeDocument/2006/relationships/hyperlink" Target="https://www.sec.gov/Archives/edgar/data/1826011/000149315224049374/ex10-3.htm" TargetMode="External"/><Relationship Id="rId202" Type="http://schemas.openxmlformats.org/officeDocument/2006/relationships/hyperlink" Target="https://www.sec.gov/Archives/edgar/data/1826011/000149315224050891/ex10-1.htm" TargetMode="External"/><Relationship Id="rId205" Type="http://schemas.openxmlformats.org/officeDocument/2006/relationships/hyperlink" Target="https://www.sec.gov/Archives/edgar/data/1826011/000149315224050891/ex10-2.htm" TargetMode="External"/><Relationship Id="rId206" Type="http://schemas.openxmlformats.org/officeDocument/2006/relationships/hyperlink" Target="https://www.sec.gov/Archives/edgar/data/1826011/000149315224050891/ex10-3.htm" TargetMode="External"/><Relationship Id="rId207" Type="http://schemas.openxmlformats.org/officeDocument/2006/relationships/hyperlink" Target="https://www.sec.gov/Archives/edgar/data/0001826011/000149315225004502/ex10-3.htm" TargetMode="External"/><Relationship Id="rId208" Type="http://schemas.openxmlformats.org/officeDocument/2006/relationships/hyperlink" Target="https://www.sec.gov/Archives/edgar/data/1826011/000164117225003843/ex10-1.htm" TargetMode="External"/><Relationship Id="rId209" Type="http://schemas.openxmlformats.org/officeDocument/2006/relationships/hyperlink" Target="https://www.sec.gov/Archives/edgar/data/1826011/000164117225003843/ex10-2.htm" TargetMode="External"/><Relationship Id="rId210" Type="http://schemas.openxmlformats.org/officeDocument/2006/relationships/hyperlink" Target="https://www.sec.gov/Archives/edgar/data/1826011/000164117225017861/ex10-1.htm" TargetMode="External"/><Relationship Id="rId211" Type="http://schemas.openxmlformats.org/officeDocument/2006/relationships/hyperlink" Target="https://www.sec.gov/Archives/edgar/data/1826011/000164117225017861/ex10-2.htm" TargetMode="External"/><Relationship Id="rId212" Type="http://schemas.openxmlformats.org/officeDocument/2006/relationships/hyperlink" Target="https://www.sec.gov/Archives/edgar/data/1826011/000164117225017861/ex10-3.htm" TargetMode="External"/><Relationship Id="rId213" Type="http://schemas.openxmlformats.org/officeDocument/2006/relationships/hyperlink" Target="https://www.sec.gov/Archives/edgar/data/1826011/000149315225012412/ex1-1.htm" TargetMode="External"/><Relationship Id="rId214" Type="http://schemas.openxmlformats.org/officeDocument/2006/relationships/hyperlink" Target="https://www.sec.gov/Archives/edgar/data/1826011/000149315225018364/ex10-5.htm" TargetMode="External"/><Relationship Id="rId215" Type="http://schemas.openxmlformats.org/officeDocument/2006/relationships/hyperlink" Target="https://www.sec.gov/Archives/edgar/data/1826011/000149315225018364/ex10-6.htm" TargetMode="External"/><Relationship Id="rId216" Type="http://schemas.openxmlformats.org/officeDocument/2006/relationships/hyperlink" Target="https://www.sec.gov/Archives/edgar/data/1826011/000149315225028196/ex10-1.htm" TargetMode="External"/><Relationship Id="rId217" Type="http://schemas.openxmlformats.org/officeDocument/2006/relationships/hyperlink" Target="https://www.sec.gov/Archives/edgar/data/1826011/000149315225028196/ex10-2.htm" TargetMode="External"/><Relationship Id="rId218" Type="http://schemas.openxmlformats.org/officeDocument/2006/relationships/hyperlink" Target="https://www.sec.gov/Archives/edgar/data/1826011/000095017025054303/bnzi-ex19_1.htm" TargetMode="External"/><Relationship Id="rId219" Type="http://schemas.openxmlformats.org/officeDocument/2006/relationships/hyperlink" Target="https://www.sec.gov/Archives/edgar/data/1826011/000095017025054303/bnzi-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2026-03-31T16:05:02Z</dcterms:created>
  <dcterms:modified xsi:type="dcterms:W3CDTF">2026-03-31T16:05:02Z</dcterms:modified>
</cp:coreProperties>
</file>