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nzi-20260331.htm"/>
      <w:bookmarkStart w:id="1" w:name="ksbnzi2026033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28"/>
        </w:rPr>
      </w:pPr>
      <w:r>
        <w:rPr>
          <w:rFonts w:ascii="Times New Roman" w:hAnsi="Times New Roman"/>
          <w:b/>
          <w:color w:val="000000"/>
          <w:sz w:val="28"/>
        </w:rPr>
        <w:t>FORM 10-Q</w:t>
      </w:r>
    </w:p>
    <w:p>
      <w:pPr>
        <w:pStyle w:val="TextBody"/>
        <w:pBdr>
          <w:bottom w:val="single" w:sz="8" w:space="1" w:color="000000"/>
        </w:pBdr>
        <w:bidi w:val="0"/>
        <w:jc w:val="center"/>
        <w:rPr/>
      </w:pPr>
      <w:r>
        <w:rPr/>
        <w:t> </w:t>
      </w:r>
    </w:p>
    <w:p>
      <w:pPr>
        <w:pStyle w:val="TextBody"/>
        <w:bidi w:val="0"/>
        <w:spacing w:before="60" w:after="283"/>
        <w:jc w:val="left"/>
        <w:rPr/>
      </w:pPr>
      <w:r>
        <w:rPr/>
        <w:t> </w:t>
      </w:r>
    </w:p>
    <w:tbl>
      <w:tblPr>
        <w:tblW w:w="9811" w:type="dxa"/>
        <w:jc w:val="left"/>
        <w:tblInd w:w="0" w:type="dxa"/>
        <w:tblLayout w:type="fixed"/>
        <w:tblCellMar>
          <w:top w:w="28" w:type="dxa"/>
          <w:left w:w="28" w:type="dxa"/>
          <w:bottom w:w="28" w:type="dxa"/>
          <w:right w:w="28" w:type="dxa"/>
        </w:tblCellMar>
      </w:tblPr>
      <w:tblGrid>
        <w:gridCol w:w="9811"/>
      </w:tblGrid>
      <w:tr>
        <w:trPr/>
        <w:tc>
          <w:tcPr>
            <w:tcW w:w="9811" w:type="dxa"/>
            <w:tcBorders/>
            <w:vAlign w:val="center"/>
          </w:tcPr>
          <w:p>
            <w:pPr>
              <w:pStyle w:val="TableContents"/>
              <w:bidi w:val="0"/>
              <w:spacing w:before="0" w:after="283"/>
              <w:jc w:val="left"/>
              <w:rPr>
                <w:sz w:val="4"/>
                <w:szCs w:val="4"/>
              </w:rPr>
            </w:pPr>
            <w:r>
              <w:rPr>
                <w:sz w:val="4"/>
                <w:szCs w:val="4"/>
              </w:rPr>
            </w:r>
          </w:p>
        </w:tc>
      </w:tr>
      <w:tr>
        <w:trPr/>
        <w:tc>
          <w:tcPr>
            <w:tcW w:w="981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8"/>
              </w:rPr>
              <w:t>QUARTERLY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quarterly period ended March 31, 2026</w:t>
      </w:r>
    </w:p>
    <w:p>
      <w:pPr>
        <w:pStyle w:val="TextBody"/>
        <w:bidi w:val="0"/>
        <w:spacing w:before="60" w:after="283"/>
        <w:jc w:val="center"/>
        <w:rPr>
          <w:rFonts w:ascii="Times New Roman" w:hAnsi="Times New Roman"/>
          <w:sz w:val="20"/>
        </w:rPr>
      </w:pPr>
      <w:r>
        <w:rPr>
          <w:rFonts w:ascii="Times New Roman" w:hAnsi="Times New Roman"/>
          <w:color w:val="000000"/>
          <w:sz w:val="16"/>
        </w:rPr>
        <w:t>or</w:t>
      </w:r>
      <w:r>
        <w:rPr>
          <w:rFonts w:ascii="Times New Roman" w:hAnsi="Times New Roman"/>
          <w:color w:val="000000"/>
          <w:sz w:val="20"/>
        </w:rPr>
        <w:t xml:space="preserve"> </w:t>
      </w:r>
    </w:p>
    <w:tbl>
      <w:tblPr>
        <w:tblW w:w="9766" w:type="dxa"/>
        <w:jc w:val="left"/>
        <w:tblInd w:w="0" w:type="dxa"/>
        <w:tblLayout w:type="fixed"/>
        <w:tblCellMar>
          <w:top w:w="28" w:type="dxa"/>
          <w:left w:w="28" w:type="dxa"/>
          <w:bottom w:w="28" w:type="dxa"/>
          <w:right w:w="28" w:type="dxa"/>
        </w:tblCellMar>
      </w:tblPr>
      <w:tblGrid>
        <w:gridCol w:w="9766"/>
      </w:tblGrid>
      <w:tr>
        <w:trPr/>
        <w:tc>
          <w:tcPr>
            <w:tcW w:w="9766" w:type="dxa"/>
            <w:tcBorders/>
            <w:vAlign w:val="center"/>
          </w:tcPr>
          <w:p>
            <w:pPr>
              <w:pStyle w:val="TableContents"/>
              <w:bidi w:val="0"/>
              <w:spacing w:before="0" w:after="283"/>
              <w:jc w:val="left"/>
              <w:rPr>
                <w:sz w:val="4"/>
                <w:szCs w:val="4"/>
              </w:rPr>
            </w:pPr>
            <w:r>
              <w:rPr>
                <w:sz w:val="4"/>
                <w:szCs w:val="4"/>
              </w:rPr>
            </w:r>
          </w:p>
        </w:tc>
      </w:tr>
      <w:tr>
        <w:trPr/>
        <w:tc>
          <w:tcPr>
            <w:tcW w:w="9766" w:type="dxa"/>
            <w:tcBorders/>
            <w:tcMar>
              <w:top w:w="0" w:type="dxa"/>
              <w:left w:w="0" w:type="dxa"/>
              <w:bottom w:w="0" w:type="dxa"/>
              <w:right w:w="0" w:type="dxa"/>
            </w:tcMar>
            <w:vAlign w:val="center"/>
          </w:tcPr>
          <w:p>
            <w:pPr>
              <w:pStyle w:val="TableContents"/>
              <w:bidi w:val="0"/>
              <w:spacing w:before="60" w:after="283"/>
              <w:jc w:val="center"/>
              <w:rPr/>
            </w:pPr>
            <w:r>
              <w:rPr>
                <w:color w:val="000000"/>
              </w:rPr>
              <w:t>☐  </w:t>
            </w:r>
            <w:r>
              <w:rPr>
                <w:rFonts w:ascii="Times New Roman" w:hAnsi="Times New Roman"/>
                <w:b/>
                <w:color w:val="000000"/>
                <w:sz w:val="18"/>
              </w:rPr>
              <w:t>TRANSITION REPORT PURSUANT TO SECTION 13 OR 15(d) OF THE SECURITIES EXCHANGE ACT OF 1934</w:t>
            </w:r>
          </w:p>
        </w:tc>
      </w:tr>
    </w:tbl>
    <w:p>
      <w:pPr>
        <w:pStyle w:val="TextBody"/>
        <w:bidi w:val="0"/>
        <w:spacing w:before="60" w:after="283"/>
        <w:jc w:val="center"/>
        <w:rPr>
          <w:rFonts w:ascii="Times New Roman" w:hAnsi="Times New Roman"/>
          <w:color w:val="000000"/>
          <w:sz w:val="16"/>
        </w:rPr>
      </w:pPr>
      <w:r>
        <w:rPr>
          <w:rFonts w:ascii="Times New Roman" w:hAnsi="Times New Roman"/>
          <w:color w:val="000000"/>
          <w:sz w:val="16"/>
        </w:rPr>
        <w:t>For the transition period from _________ to _________</w:t>
      </w:r>
    </w:p>
    <w:p>
      <w:pPr>
        <w:pStyle w:val="TextBody"/>
        <w:bidi w:val="0"/>
        <w:spacing w:before="60" w:after="283"/>
        <w:jc w:val="center"/>
        <w:rPr>
          <w:rFonts w:ascii="Times New Roman" w:hAnsi="Times New Roman"/>
          <w:sz w:val="20"/>
        </w:rPr>
      </w:pPr>
      <w:r>
        <w:rPr>
          <w:rFonts w:ascii="Times New Roman" w:hAnsi="Times New Roman"/>
          <w:color w:val="000000"/>
          <w:sz w:val="16"/>
        </w:rPr>
        <w:t xml:space="preserve">Commission File Number: </w:t>
      </w:r>
      <w:r>
        <w:rPr>
          <w:rFonts w:ascii="Times New Roman" w:hAnsi="Times New Roman"/>
          <w:b/>
          <w:color w:val="000000"/>
          <w:sz w:val="18"/>
        </w:rPr>
        <w:t>001-39826</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Banzai International,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8" w:space="1" w:color="000000"/>
        </w:pBdr>
        <w:bidi w:val="0"/>
        <w:jc w:val="center"/>
        <w:rPr/>
      </w:pPr>
      <w:r>
        <w:rPr/>
        <w:t> </w:t>
      </w:r>
    </w:p>
    <w:tbl>
      <w:tblPr>
        <w:tblW w:w="3602" w:type="dxa"/>
        <w:jc w:val="left"/>
        <w:tblInd w:w="0" w:type="dxa"/>
        <w:tblLayout w:type="fixed"/>
        <w:tblCellMar>
          <w:top w:w="28" w:type="dxa"/>
          <w:left w:w="28" w:type="dxa"/>
          <w:bottom w:w="28" w:type="dxa"/>
          <w:right w:w="28" w:type="dxa"/>
        </w:tblCellMar>
      </w:tblPr>
      <w:tblGrid>
        <w:gridCol w:w="2386"/>
        <w:gridCol w:w="1216"/>
      </w:tblGrid>
      <w:tr>
        <w:trPr/>
        <w:tc>
          <w:tcPr>
            <w:tcW w:w="2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85-3118980</w:t>
            </w:r>
          </w:p>
        </w:tc>
      </w:tr>
      <w:tr>
        <w:trPr/>
        <w:tc>
          <w:tcPr>
            <w:tcW w:w="2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(I.R.S. Employer</w:t>
            </w:r>
          </w:p>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Identification No.)</w:t>
            </w:r>
          </w:p>
        </w:tc>
      </w:tr>
      <w:tr>
        <w:trPr/>
        <w:tc>
          <w:tcPr>
            <w:tcW w:w="23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16"/>
              </w:rPr>
              <w:t>435 Ericksen Ave, Suite 250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Bainbridge Island, Washington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98110</w:t>
            </w:r>
          </w:p>
        </w:tc>
      </w:tr>
      <w:tr>
        <w:trPr/>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(206) 414-1777</w:t>
      </w:r>
    </w:p>
    <w:p>
      <w:pPr>
        <w:pStyle w:val="TextBody"/>
        <w:bidi w:val="0"/>
        <w:spacing w:before="60" w:after="283"/>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22"/>
        <w:gridCol w:w="146"/>
        <w:gridCol w:w="692"/>
        <w:gridCol w:w="146"/>
        <w:gridCol w:w="2499"/>
      </w:tblGrid>
      <w:tr>
        <w:trPr/>
        <w:tc>
          <w:tcPr>
            <w:tcW w:w="6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67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6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r>
        <w:trPr/>
        <w:tc>
          <w:tcPr>
            <w:tcW w:w="6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Warrants, each whole warrant exercisable for one share of Class A common stock at an exercise price of $115,000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BNZIW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9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4"/>
              </w:rPr>
              <w:t>The Nasdaq</w:t>
            </w:r>
            <w:r>
              <w:rPr>
                <w:rFonts w:ascii="Times New Roman" w:hAnsi="Times New Roman"/>
                <w:color w:val="000000"/>
                <w:sz w:val="20"/>
              </w:rPr>
              <w:t> </w:t>
            </w:r>
            <w:r>
              <w:rPr>
                <w:rFonts w:ascii="Times New Roman" w:hAnsi="Times New Roman"/>
                <w:b/>
                <w:color w:val="000000"/>
                <w:sz w:val="14"/>
              </w:rPr>
              <w:t>Capital Market</w:t>
            </w:r>
          </w:p>
        </w:tc>
      </w:tr>
    </w:tbl>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The number of shares outstanding of each of the registrant's classes of common stock, $0.0001 par value per share, as of May 14, 2026:</w:t>
      </w:r>
    </w:p>
    <w:p>
      <w:pPr>
        <w:pStyle w:val="TextBody"/>
        <w:bidi w:val="0"/>
        <w:spacing w:before="60" w:after="283"/>
        <w:jc w:val="left"/>
        <w:rPr>
          <w:rFonts w:ascii="Times New Roman" w:hAnsi="Times New Roman"/>
          <w:sz w:val="20"/>
        </w:rPr>
      </w:pPr>
      <w:r>
        <w:rPr>
          <w:rFonts w:ascii="Times New Roman" w:hAnsi="Times New Roman"/>
          <w:color w:val="000000"/>
          <w:sz w:val="18"/>
        </w:rPr>
        <w:t>Class A Common Stock - 1,422,526</w:t>
      </w:r>
      <w:r>
        <w:rPr>
          <w:rFonts w:ascii="Times New Roman" w:hAnsi="Times New Roman"/>
          <w:color w:val="000000"/>
          <w:sz w:val="20"/>
        </w:rPr>
        <w:t xml:space="preserve"> </w:t>
      </w:r>
      <w:r>
        <w:rPr>
          <w:rFonts w:ascii="Times New Roman" w:hAnsi="Times New Roman"/>
          <w:color w:val="000000"/>
          <w:sz w:val="18"/>
        </w:rPr>
        <w:t>shares</w:t>
      </w:r>
    </w:p>
    <w:p>
      <w:pPr>
        <w:pStyle w:val="TextBody"/>
        <w:bidi w:val="0"/>
        <w:spacing w:before="60" w:after="283"/>
        <w:jc w:val="left"/>
        <w:rPr>
          <w:rFonts w:ascii="Times New Roman" w:hAnsi="Times New Roman"/>
          <w:sz w:val="20"/>
        </w:rPr>
      </w:pPr>
      <w:r>
        <w:rPr>
          <w:rFonts w:ascii="Times New Roman" w:hAnsi="Times New Roman"/>
          <w:color w:val="000000"/>
          <w:sz w:val="18"/>
        </w:rPr>
        <w:t>Class B Common Stock - 33,856</w:t>
      </w:r>
      <w:r>
        <w:rPr>
          <w:rFonts w:ascii="Times New Roman" w:hAnsi="Times New Roman"/>
          <w:color w:val="000000"/>
          <w:sz w:val="20"/>
        </w:rPr>
        <w:t xml:space="preserve"> </w:t>
      </w:r>
      <w:r>
        <w:rPr>
          <w:rFonts w:ascii="Times New Roman" w:hAnsi="Times New Roman"/>
          <w:color w:val="000000"/>
          <w:sz w:val="18"/>
        </w:rPr>
        <w:t>shares</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5"/>
        <w:gridCol w:w="8878"/>
        <w:gridCol w:w="512"/>
      </w:tblGrid>
      <w:tr>
        <w:trPr/>
        <w:tc>
          <w:tcPr>
            <w:tcW w:w="815" w:type="dxa"/>
            <w:tcBorders/>
            <w:vAlign w:val="center"/>
          </w:tcPr>
          <w:p>
            <w:pPr>
              <w:pStyle w:val="TableContents"/>
              <w:bidi w:val="0"/>
              <w:spacing w:before="0" w:after="283"/>
              <w:jc w:val="left"/>
              <w:rPr>
                <w:sz w:val="4"/>
                <w:szCs w:val="4"/>
              </w:rPr>
            </w:pPr>
            <w:r>
              <w:rPr>
                <w:sz w:val="4"/>
                <w:szCs w:val="4"/>
              </w:rPr>
            </w:r>
          </w:p>
        </w:tc>
        <w:tc>
          <w:tcPr>
            <w:tcW w:w="887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March 31,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Unaudited Condensed Consolidated Statements of Operations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deficit">
              <w:r>
                <w:rPr>
                  <w:rStyle w:val="InternetLink"/>
                  <w:rFonts w:ascii="Times New Roman" w:hAnsi="Times New Roman"/>
                  <w:color w:val="0000FF"/>
                  <w:sz w:val="20"/>
                  <w:u w:val="single"/>
                </w:rPr>
                <w:t>Unaudited Condensed Consolidated Statements of Changes in Stockholders' Equity (Deficit)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Unaudited Condensed Consolidated Statements of Cash Flows for the three months ended March 31,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7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ii_other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isk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isteredsale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safety">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info">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00" w:after="283"/>
        <w:jc w:val="center"/>
        <w:rPr>
          <w:rFonts w:ascii="Times New Roman" w:hAnsi="Times New Roman"/>
          <w:b/>
          <w:color w:val="000000"/>
          <w:sz w:val="20"/>
        </w:rPr>
      </w:pPr>
      <w:bookmarkStart w:id="3" w:name="balance_sheet"/>
      <w:bookmarkEnd w:id="3"/>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98"/>
        <w:gridCol w:w="146"/>
        <w:gridCol w:w="213"/>
        <w:gridCol w:w="820"/>
        <w:gridCol w:w="166"/>
        <w:gridCol w:w="146"/>
        <w:gridCol w:w="228"/>
        <w:gridCol w:w="874"/>
        <w:gridCol w:w="614"/>
      </w:tblGrid>
      <w:tr>
        <w:trPr/>
        <w:tc>
          <w:tcPr>
            <w:tcW w:w="6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$26</w:t>
            </w:r>
            <w:r>
              <w:rPr>
                <w:rFonts w:ascii="Times New Roman" w:hAnsi="Times New Roman"/>
                <w:color w:val="000000"/>
                <w:sz w:val="20"/>
              </w:rPr>
              <w:t> </w:t>
            </w:r>
            <w:r>
              <w:rPr>
                <w:rFonts w:ascii="Times New Roman" w:hAnsi="Times New Roman"/>
                <w:color w:val="000000"/>
                <w:sz w:val="16"/>
              </w:rPr>
              <w:t>and $41,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Notes payable,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Private placement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23,576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$0.0001</w:t>
            </w:r>
            <w:r>
              <w:rPr>
                <w:rFonts w:ascii="Times New Roman" w:hAnsi="Times New Roman"/>
                <w:color w:val="000000"/>
                <w:sz w:val="20"/>
              </w:rPr>
              <w:t> </w:t>
            </w:r>
            <w:r>
              <w:rPr>
                <w:rFonts w:ascii="Times New Roman" w:hAnsi="Times New Roman"/>
                <w:color w:val="000000"/>
                <w:sz w:val="16"/>
              </w:rPr>
              <w:t>par value, 275,000,000</w:t>
            </w:r>
            <w:r>
              <w:rPr>
                <w:rFonts w:ascii="Times New Roman" w:hAnsi="Times New Roman"/>
                <w:color w:val="000000"/>
                <w:sz w:val="20"/>
              </w:rPr>
              <w:t> </w:t>
            </w:r>
            <w:r>
              <w:rPr>
                <w:rFonts w:ascii="Times New Roman" w:hAnsi="Times New Roman"/>
                <w:color w:val="000000"/>
                <w:sz w:val="16"/>
              </w:rPr>
              <w:t>(250,000,000</w:t>
            </w:r>
            <w:r>
              <w:rPr>
                <w:rFonts w:ascii="Times New Roman" w:hAnsi="Times New Roman"/>
                <w:color w:val="000000"/>
                <w:sz w:val="20"/>
              </w:rPr>
              <w:t> </w:t>
            </w:r>
            <w:r>
              <w:rPr>
                <w:rFonts w:ascii="Times New Roman" w:hAnsi="Times New Roman"/>
                <w:color w:val="000000"/>
                <w:sz w:val="16"/>
              </w:rPr>
              <w:t>Class A and 25,000,000</w:t>
            </w:r>
            <w:r>
              <w:rPr>
                <w:rFonts w:ascii="Times New Roman" w:hAnsi="Times New Roman"/>
                <w:color w:val="000000"/>
                <w:sz w:val="20"/>
              </w:rPr>
              <w:t> </w:t>
            </w:r>
            <w:r>
              <w:rPr>
                <w:rFonts w:ascii="Times New Roman" w:hAnsi="Times New Roman"/>
                <w:color w:val="000000"/>
                <w:sz w:val="16"/>
              </w:rPr>
              <w:t>Class B) shares authorized and 867,355</w:t>
            </w:r>
            <w:r>
              <w:rPr>
                <w:rFonts w:ascii="Times New Roman" w:hAnsi="Times New Roman"/>
                <w:color w:val="000000"/>
                <w:sz w:val="20"/>
              </w:rPr>
              <w:t> </w:t>
            </w:r>
            <w:r>
              <w:rPr>
                <w:rFonts w:ascii="Times New Roman" w:hAnsi="Times New Roman"/>
                <w:color w:val="000000"/>
                <w:sz w:val="16"/>
              </w:rPr>
              <w:t>(855,799</w:t>
            </w:r>
            <w:r>
              <w:rPr>
                <w:rFonts w:ascii="Times New Roman" w:hAnsi="Times New Roman"/>
                <w:color w:val="000000"/>
                <w:sz w:val="20"/>
              </w:rPr>
              <w:t> </w:t>
            </w:r>
            <w:r>
              <w:rPr>
                <w:rFonts w:ascii="Times New Roman" w:hAnsi="Times New Roman"/>
                <w:color w:val="000000"/>
                <w:sz w:val="16"/>
              </w:rPr>
              <w:t>Class A and 11,556</w:t>
            </w:r>
            <w:r>
              <w:rPr>
                <w:rFonts w:ascii="Times New Roman" w:hAnsi="Times New Roman"/>
                <w:color w:val="000000"/>
                <w:sz w:val="20"/>
              </w:rPr>
              <w:t> </w:t>
            </w:r>
            <w:r>
              <w:rPr>
                <w:rFonts w:ascii="Times New Roman" w:hAnsi="Times New Roman"/>
                <w:color w:val="000000"/>
                <w:sz w:val="16"/>
              </w:rPr>
              <w:t>Class B) and 527,317</w:t>
            </w:r>
            <w:r>
              <w:rPr>
                <w:rFonts w:ascii="Times New Roman" w:hAnsi="Times New Roman"/>
                <w:color w:val="000000"/>
                <w:sz w:val="20"/>
              </w:rPr>
              <w:t> </w:t>
            </w:r>
            <w:r>
              <w:rPr>
                <w:rFonts w:ascii="Times New Roman" w:hAnsi="Times New Roman"/>
                <w:color w:val="000000"/>
                <w:sz w:val="16"/>
              </w:rPr>
              <w:t>(515,761</w:t>
            </w:r>
            <w:r>
              <w:rPr>
                <w:rFonts w:ascii="Times New Roman" w:hAnsi="Times New Roman"/>
                <w:color w:val="000000"/>
                <w:sz w:val="20"/>
              </w:rPr>
              <w:t> </w:t>
            </w:r>
            <w:r>
              <w:rPr>
                <w:rFonts w:ascii="Times New Roman" w:hAnsi="Times New Roman"/>
                <w:color w:val="000000"/>
                <w:sz w:val="16"/>
              </w:rPr>
              <w:t>Class A and 11,556</w:t>
            </w:r>
            <w:r>
              <w:rPr>
                <w:rFonts w:ascii="Times New Roman" w:hAnsi="Times New Roman"/>
                <w:color w:val="000000"/>
                <w:sz w:val="20"/>
              </w:rPr>
              <w:t> </w:t>
            </w:r>
            <w:r>
              <w:rPr>
                <w:rFonts w:ascii="Times New Roman" w:hAnsi="Times New Roman"/>
                <w:color w:val="000000"/>
                <w:sz w:val="16"/>
              </w:rPr>
              <w:t>Class B) shares issued and outstanding at March 31,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$0.0001</w:t>
            </w:r>
            <w:r>
              <w:rPr>
                <w:rFonts w:ascii="Times New Roman" w:hAnsi="Times New Roman"/>
                <w:color w:val="000000"/>
                <w:sz w:val="20"/>
              </w:rPr>
              <w:t> </w:t>
            </w:r>
            <w:r>
              <w:rPr>
                <w:rFonts w:ascii="Times New Roman" w:hAnsi="Times New Roman"/>
                <w:color w:val="000000"/>
                <w:sz w:val="16"/>
              </w:rPr>
              <w:t>par value, 75,000,000</w:t>
            </w:r>
            <w:r>
              <w:rPr>
                <w:rFonts w:ascii="Times New Roman" w:hAnsi="Times New Roman"/>
                <w:color w:val="000000"/>
                <w:sz w:val="20"/>
              </w:rPr>
              <w:t> </w:t>
            </w:r>
            <w:r>
              <w:rPr>
                <w:rFonts w:ascii="Times New Roman" w:hAnsi="Times New Roman"/>
                <w:color w:val="000000"/>
                <w:sz w:val="16"/>
              </w:rPr>
              <w:t>shares authorized, 1</w:t>
            </w:r>
            <w:r>
              <w:rPr>
                <w:rFonts w:ascii="Times New Roman" w:hAnsi="Times New Roman"/>
                <w:color w:val="000000"/>
                <w:sz w:val="20"/>
              </w:rPr>
              <w:t> </w:t>
            </w:r>
            <w:r>
              <w:rPr>
                <w:rFonts w:ascii="Times New Roman" w:hAnsi="Times New Roman"/>
                <w:color w:val="000000"/>
                <w:sz w:val="16"/>
              </w:rPr>
              <w:t>and 1</w:t>
            </w:r>
            <w:r>
              <w:rPr>
                <w:rFonts w:ascii="Times New Roman" w:hAnsi="Times New Roman"/>
                <w:color w:val="000000"/>
                <w:sz w:val="20"/>
              </w:rPr>
              <w:t> </w:t>
            </w:r>
            <w:r>
              <w:rPr>
                <w:rFonts w:ascii="Times New Roman" w:hAnsi="Times New Roman"/>
                <w:color w:val="000000"/>
                <w:sz w:val="16"/>
              </w:rPr>
              <w:t>shares issued and outstanding at March 31,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108,912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(100,772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8,055</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31,631</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statement_of_operations"/>
      <w:bookmarkEnd w:id="4"/>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per share data)</w:t>
      </w:r>
    </w:p>
    <w:p>
      <w:pPr>
        <w:pStyle w:val="TextBody"/>
        <w:bidi w:val="0"/>
        <w:jc w:val="center"/>
        <w:rPr/>
      </w:pPr>
      <w:r>
        <w:rPr/>
        <w:t> </w:t>
      </w:r>
    </w:p>
    <w:tbl>
      <w:tblPr>
        <w:tblW w:w="8005" w:type="dxa"/>
        <w:jc w:val="left"/>
        <w:tblInd w:w="0" w:type="dxa"/>
        <w:tblLayout w:type="fixed"/>
        <w:tblCellMar>
          <w:top w:w="28" w:type="dxa"/>
          <w:left w:w="28" w:type="dxa"/>
          <w:bottom w:w="28" w:type="dxa"/>
          <w:right w:w="28" w:type="dxa"/>
        </w:tblCellMar>
      </w:tblPr>
      <w:tblGrid>
        <w:gridCol w:w="4471"/>
        <w:gridCol w:w="146"/>
        <w:gridCol w:w="337"/>
        <w:gridCol w:w="983"/>
        <w:gridCol w:w="286"/>
        <w:gridCol w:w="251"/>
        <w:gridCol w:w="337"/>
        <w:gridCol w:w="983"/>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extinguishment of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Yorkville SEPA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statement_of_deficit"/>
      <w:bookmarkEnd w:id="5"/>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Equity (Deficit)</w:t>
      </w:r>
    </w:p>
    <w:p>
      <w:pPr>
        <w:pStyle w:val="TextBody"/>
        <w:bidi w:val="0"/>
        <w:jc w:val="center"/>
        <w:rPr>
          <w:rFonts w:ascii="Times New Roman" w:hAnsi="Times New Roman"/>
          <w:b/>
          <w:color w:val="000000"/>
          <w:sz w:val="20"/>
        </w:rPr>
      </w:pPr>
      <w:r>
        <w:rPr>
          <w:rFonts w:ascii="Times New Roman" w:hAnsi="Times New Roman"/>
          <w:b/>
          <w:color w:val="000000"/>
          <w:sz w:val="20"/>
        </w:rPr>
        <w:t>for the three months ended March 31, 2026 and 2025</w:t>
      </w:r>
    </w:p>
    <w:p>
      <w:pPr>
        <w:pStyle w:val="TextBody"/>
        <w:bidi w:val="0"/>
        <w:jc w:val="center"/>
        <w:rPr>
          <w:rFonts w:ascii="Times New Roman" w:hAnsi="Times New Roman"/>
          <w:i/>
          <w:color w:val="000000"/>
          <w:sz w:val="18"/>
        </w:rPr>
      </w:pPr>
      <w:r>
        <w:rPr>
          <w:rFonts w:ascii="Times New Roman" w:hAnsi="Times New Roman"/>
          <w:i/>
          <w:color w:val="000000"/>
          <w:sz w:val="18"/>
        </w:rPr>
        <w:t>(in thousands, except share data)</w:t>
      </w:r>
    </w:p>
    <w:p>
      <w:pPr>
        <w:pStyle w:val="TextBody"/>
        <w:bidi w:val="0"/>
        <w:jc w:val="left"/>
        <w:rPr/>
      </w:pPr>
      <w:r>
        <w:rPr/>
        <w:t> </w:t>
      </w:r>
    </w:p>
    <w:tbl>
      <w:tblPr>
        <w:tblW w:w="12318"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91"/>
        <w:gridCol w:w="146"/>
        <w:gridCol w:w="146"/>
        <w:gridCol w:w="249"/>
        <w:gridCol w:w="442"/>
        <w:gridCol w:w="146"/>
        <w:gridCol w:w="146"/>
        <w:gridCol w:w="196"/>
        <w:gridCol w:w="691"/>
        <w:gridCol w:w="146"/>
        <w:gridCol w:w="146"/>
        <w:gridCol w:w="439"/>
        <w:gridCol w:w="777"/>
        <w:gridCol w:w="166"/>
        <w:gridCol w:w="146"/>
        <w:gridCol w:w="217"/>
        <w:gridCol w:w="834"/>
        <w:gridCol w:w="166"/>
        <w:gridCol w:w="146"/>
        <w:gridCol w:w="264"/>
        <w:gridCol w:w="77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527,317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under the ATM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1800 Diagonal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3i for conversions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issued to Agile for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Vesting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867,355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(109,189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2192" w:type="dxa"/>
        <w:jc w:val="left"/>
        <w:tblInd w:w="0" w:type="dxa"/>
        <w:tblLayout w:type="fixed"/>
        <w:tblCellMar>
          <w:top w:w="28" w:type="dxa"/>
          <w:left w:w="28" w:type="dxa"/>
          <w:bottom w:w="28" w:type="dxa"/>
          <w:right w:w="28" w:type="dxa"/>
        </w:tblCellMar>
      </w:tblPr>
      <w:tblGrid>
        <w:gridCol w:w="1081"/>
        <w:gridCol w:w="146"/>
        <w:gridCol w:w="208"/>
        <w:gridCol w:w="378"/>
        <w:gridCol w:w="146"/>
        <w:gridCol w:w="146"/>
        <w:gridCol w:w="279"/>
        <w:gridCol w:w="412"/>
        <w:gridCol w:w="146"/>
        <w:gridCol w:w="146"/>
        <w:gridCol w:w="180"/>
        <w:gridCol w:w="346"/>
        <w:gridCol w:w="146"/>
        <w:gridCol w:w="146"/>
        <w:gridCol w:w="292"/>
        <w:gridCol w:w="399"/>
        <w:gridCol w:w="146"/>
        <w:gridCol w:w="146"/>
        <w:gridCol w:w="146"/>
        <w:gridCol w:w="601"/>
        <w:gridCol w:w="146"/>
        <w:gridCol w:w="146"/>
        <w:gridCol w:w="249"/>
        <w:gridCol w:w="442"/>
        <w:gridCol w:w="146"/>
        <w:gridCol w:w="146"/>
        <w:gridCol w:w="214"/>
        <w:gridCol w:w="657"/>
        <w:gridCol w:w="146"/>
        <w:gridCol w:w="146"/>
        <w:gridCol w:w="439"/>
        <w:gridCol w:w="777"/>
        <w:gridCol w:w="146"/>
        <w:gridCol w:w="146"/>
        <w:gridCol w:w="240"/>
        <w:gridCol w:w="811"/>
        <w:gridCol w:w="166"/>
        <w:gridCol w:w="146"/>
        <w:gridCol w:w="264"/>
        <w:gridCol w:w="772"/>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A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Series FE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 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(78,280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shares to Yorkville under the SEPA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to Hudson for consulting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payment to Verista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Shares issued for Vidello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72,434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84,868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statement_of_cash_flows"/>
      <w:bookmarkEnd w:id="6"/>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center"/>
        <w:rPr/>
      </w:pPr>
      <w:r>
        <w:rPr/>
        <w:t> </w:t>
      </w:r>
    </w:p>
    <w:tbl>
      <w:tblPr>
        <w:tblW w:w="7250" w:type="dxa"/>
        <w:jc w:val="left"/>
        <w:tblInd w:w="0" w:type="dxa"/>
        <w:tblLayout w:type="fixed"/>
        <w:tblCellMar>
          <w:top w:w="28" w:type="dxa"/>
          <w:left w:w="28" w:type="dxa"/>
          <w:bottom w:w="28" w:type="dxa"/>
          <w:right w:w="28" w:type="dxa"/>
        </w:tblCellMar>
      </w:tblPr>
      <w:tblGrid>
        <w:gridCol w:w="4336"/>
        <w:gridCol w:w="146"/>
        <w:gridCol w:w="269"/>
        <w:gridCol w:w="716"/>
        <w:gridCol w:w="225"/>
        <w:gridCol w:w="217"/>
        <w:gridCol w:w="269"/>
        <w:gridCol w:w="716"/>
        <w:gridCol w:w="356"/>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(8,417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(3,644</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Provision for credit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shares issued for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Discount at issuance on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Non-cash 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 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Gain on extinguishment of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Private Placement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Loss on SEPA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financial instruments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Change in fair value of convertible notes, carried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revenue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(5,501</w:t>
            </w:r>
          </w:p>
        </w:tc>
        <w:tc>
          <w:tcPr>
            <w:tcW w:w="2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(4,974</w:t>
            </w:r>
          </w:p>
        </w:tc>
        <w:tc>
          <w:tcPr>
            <w:tcW w:w="35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paid for acquisition of Vidello,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(2,677</w:t>
            </w:r>
          </w:p>
        </w:tc>
        <w:tc>
          <w:tcPr>
            <w:tcW w:w="3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Payment of GEM commitment fee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convertible notes (Yorkville)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term notes,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Repayment of term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Partial repayment of convertible notes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convertible notes,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shares to Yorkville under the SEPA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shares issued to Verista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Proceeds from issuance of common stock and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5,347</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7,347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1,087</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783</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thousands)</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4346"/>
        <w:gridCol w:w="146"/>
        <w:gridCol w:w="146"/>
        <w:gridCol w:w="436"/>
        <w:gridCol w:w="146"/>
        <w:gridCol w:w="146"/>
        <w:gridCol w:w="146"/>
        <w:gridCol w:w="436"/>
        <w:gridCol w:w="351"/>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paid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4"/>
              </w:rPr>
            </w:pPr>
            <w:r>
              <w:rPr>
                <w:rFonts w:ascii="Times New Roman" w:hAnsi="Times New Roman"/>
                <w:i/>
                <w:color w:val="000000"/>
                <w:sz w:val="14"/>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Hudson consulting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Consideration transferred for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1,662</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Assets acquired in acquisition of 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8,393</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Liabilities assumed in acquisition of Vidello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3,986</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Conversion of private placement convertible notes, carried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payment of outstanding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Shares issued for 1800 Diagonal Note conversions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center"/>
        <w:rPr/>
      </w:pPr>
      <w:bookmarkStart w:id="7" w:name="notes_to_financial_statements"/>
      <w:bookmarkEnd w:id="7"/>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Banzai International, Inc. (the “Company” or “Banzai”) was incorporated in Delaware on September 30, 2015. Banzai is a leading enterprise SaaS Video Engagement platform used by marketers to power webinars, trainings, virtual events, and on-demand video content.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the Company had cash of approximately $0.1 million. For the three months ended March 31, 2026, the Company used approximately $5.5 million in cash for operating activities. The Company has incurred recurring net losses from operations and negative cash flows from operating activities since inception. As of March 31, 2026, the Company had an accumulated deficit of approximately $109.2 million. These factors raise substantial doubt regarding the Company’s ability to continue as a going concern within one year of the date these financial statements were issued.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Company’s plans include obtaining future debt financings (see </w:t>
      </w:r>
      <w:r>
        <w:rPr>
          <w:rFonts w:ascii="Times New Roman" w:hAnsi="Times New Roman"/>
          <w:i/>
          <w:color w:val="000000"/>
          <w:sz w:val="20"/>
        </w:rPr>
        <w:t>Note 11 – Debt</w:t>
      </w:r>
      <w:r>
        <w:rPr>
          <w:rFonts w:ascii="Times New Roman" w:hAnsi="Times New Roman"/>
          <w:color w:val="000000"/>
          <w:sz w:val="20"/>
        </w:rPr>
        <w:t xml:space="preserve">) and equity financings associated with the Yorkville SEPA and the ATM (as defined in </w:t>
      </w:r>
      <w:r>
        <w:rPr>
          <w:rFonts w:ascii="Times New Roman" w:hAnsi="Times New Roman"/>
          <w:i/>
          <w:color w:val="000000"/>
          <w:sz w:val="20"/>
        </w:rPr>
        <w:t>Note 14 – Equity</w:t>
      </w:r>
      <w:r>
        <w:rPr>
          <w:rFonts w:ascii="Times New Roman" w:hAnsi="Times New Roman"/>
          <w:color w:val="000000"/>
          <w:sz w:val="20"/>
        </w:rPr>
        <w:t>)</w:t>
      </w:r>
      <w:r>
        <w:rPr>
          <w:rFonts w:ascii="Times New Roman" w:hAnsi="Times New Roman"/>
          <w:i/>
          <w:color w:val="000000"/>
          <w:sz w:val="20"/>
        </w:rPr>
        <w:t>.</w:t>
      </w:r>
      <w:r>
        <w:rPr>
          <w:rFonts w:ascii="Times New Roman" w:hAnsi="Times New Roman"/>
          <w:color w:val="000000"/>
          <w:sz w:val="20"/>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accompanying condensed consolidated financial statements have been prepared assuming that the Company will continue as a going concern and do not include any adjustments that might result from the outcome of this uncertainty.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Summary of Significant Accounting Policies</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March 31, 2026 are not necessarily indicative of the results that may be expected for the year ending December 31, 2026.</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Accounts receivable consist of balances due from customers as well as from payment service providers. Payment terms range from due upon receipt, to net 30 days. Accounts receivable are stated net of an allowance for credit losses.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changes in the allowance for credit losses for the year ended December 31, 2025:</w:t>
      </w:r>
    </w:p>
    <w:tbl>
      <w:tblPr>
        <w:tblW w:w="4181" w:type="dxa"/>
        <w:jc w:val="left"/>
        <w:tblInd w:w="0" w:type="dxa"/>
        <w:tblLayout w:type="fixed"/>
        <w:tblCellMar>
          <w:top w:w="28" w:type="dxa"/>
          <w:left w:w="28" w:type="dxa"/>
          <w:bottom w:w="28" w:type="dxa"/>
          <w:right w:w="28" w:type="dxa"/>
        </w:tblCellMar>
      </w:tblPr>
      <w:tblGrid>
        <w:gridCol w:w="3091"/>
        <w:gridCol w:w="146"/>
        <w:gridCol w:w="211"/>
        <w:gridCol w:w="146"/>
        <w:gridCol w:w="376"/>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Warrant Liabilities</w:t>
      </w:r>
    </w:p>
    <w:p>
      <w:pPr>
        <w:pStyle w:val="TextBody"/>
        <w:bidi w:val="0"/>
        <w:jc w:val="both"/>
        <w:rPr>
          <w:rFonts w:ascii="Times New Roman" w:hAnsi="Times New Roman"/>
          <w:color w:val="000000"/>
          <w:sz w:val="20"/>
        </w:rPr>
      </w:pPr>
      <w:r>
        <w:rPr>
          <w:rFonts w:ascii="Times New Roman" w:hAnsi="Times New Roman"/>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Warrant Liability – related party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warrants originally issued in 7GC's initial public offering (the "Public Warrants") are recognized as derivative liabilities in accordance with FASB ASC 815, </w:t>
      </w:r>
      <w:r>
        <w:rPr>
          <w:rFonts w:ascii="Times New Roman" w:hAnsi="Times New Roman"/>
          <w:i/>
          <w:color w:val="000000"/>
          <w:sz w:val="20"/>
        </w:rPr>
        <w:t>Derivatives and Hedging</w:t>
      </w:r>
      <w:r>
        <w:rPr>
          <w:rFonts w:ascii="Times New Roman" w:hAnsi="Times New Roman"/>
          <w:color w:val="000000"/>
          <w:sz w:val="20"/>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GEM Warrant Liability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basic and diluted net loss per share attributable to common stock was as follows:</w:t>
      </w:r>
    </w:p>
    <w:p>
      <w:pPr>
        <w:pStyle w:val="TextBody"/>
        <w:bidi w:val="0"/>
        <w:jc w:val="both"/>
        <w:rPr/>
      </w:pPr>
      <w:r>
        <w:rPr/>
        <w:t> </w:t>
      </w:r>
    </w:p>
    <w:tbl>
      <w:tblPr>
        <w:tblW w:w="9940" w:type="dxa"/>
        <w:jc w:val="left"/>
        <w:tblInd w:w="0" w:type="dxa"/>
        <w:tblLayout w:type="fixed"/>
        <w:tblCellMar>
          <w:top w:w="28" w:type="dxa"/>
          <w:left w:w="28" w:type="dxa"/>
          <w:bottom w:w="28" w:type="dxa"/>
          <w:right w:w="28" w:type="dxa"/>
        </w:tblCellMar>
      </w:tblPr>
      <w:tblGrid>
        <w:gridCol w:w="6136"/>
        <w:gridCol w:w="146"/>
        <w:gridCol w:w="364"/>
        <w:gridCol w:w="1090"/>
        <w:gridCol w:w="287"/>
        <w:gridCol w:w="252"/>
        <w:gridCol w:w="364"/>
        <w:gridCol w:w="1090"/>
        <w:gridCol w:w="21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shares—basic and diluted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Securities that were excluded from loss per share as their effect would be anti-dilutive due to the net loss that could potentially be dilutive in future periods are as follows:</w:t>
      </w:r>
    </w:p>
    <w:p>
      <w:pPr>
        <w:pStyle w:val="TextBody"/>
        <w:bidi w:val="0"/>
        <w:jc w:val="both"/>
        <w:rPr/>
      </w:pPr>
      <w:r>
        <w:rPr/>
        <w:t> </w:t>
      </w:r>
    </w:p>
    <w:tbl>
      <w:tblPr>
        <w:tblW w:w="5019" w:type="dxa"/>
        <w:jc w:val="left"/>
        <w:tblInd w:w="0" w:type="dxa"/>
        <w:tblLayout w:type="fixed"/>
        <w:tblCellMar>
          <w:top w:w="28" w:type="dxa"/>
          <w:left w:w="28" w:type="dxa"/>
          <w:bottom w:w="28" w:type="dxa"/>
          <w:right w:w="28" w:type="dxa"/>
        </w:tblCellMar>
      </w:tblPr>
      <w:tblGrid>
        <w:gridCol w:w="2641"/>
        <w:gridCol w:w="146"/>
        <w:gridCol w:w="146"/>
        <w:gridCol w:w="781"/>
        <w:gridCol w:w="146"/>
        <w:gridCol w:w="146"/>
        <w:gridCol w:w="146"/>
        <w:gridCol w:w="676"/>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rFonts w:cs="Times New Roman"/>
                <w:bCs/>
                <w:color w:val="000000"/>
                <w:szCs w:val="20"/>
              </w:rPr>
            </w:pPr>
            <w:r>
              <w:rPr>
                <w:rFonts w:cs="Times New Roman"/>
                <w:bCs/>
                <w:color w:val="000000"/>
                <w:szCs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GEM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Placement agent warrant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Derivative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hAnsi="Times New Roman"/>
          <w:i/>
          <w:color w:val="000000"/>
          <w:sz w:val="20"/>
        </w:rPr>
        <w:t>Note 7 – Fair Value Measurements</w:t>
      </w:r>
      <w:r>
        <w:rPr>
          <w:rFonts w:ascii="Times New Roman" w:hAnsi="Times New Roman"/>
          <w:color w:val="000000"/>
          <w:sz w:val="20"/>
        </w:rPr>
        <w:t xml:space="preserve"> and </w:t>
      </w:r>
      <w:r>
        <w:rPr>
          <w:rFonts w:ascii="Times New Roman" w:hAnsi="Times New Roman"/>
          <w:i/>
          <w:color w:val="000000"/>
          <w:sz w:val="20"/>
        </w:rPr>
        <w:t>Note 11 – Debt</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accordance with FASB ASC 820, </w:t>
      </w:r>
      <w:r>
        <w:rPr>
          <w:rFonts w:ascii="Times New Roman" w:hAnsi="Times New Roman"/>
          <w:i/>
          <w:color w:val="000000"/>
          <w:sz w:val="20"/>
        </w:rPr>
        <w:t>Fair Value Measurement</w:t>
      </w:r>
      <w:r>
        <w:rPr>
          <w:rFonts w:ascii="Times New Roman" w:hAnsi="Times New Roman"/>
          <w:color w:val="000000"/>
          <w:sz w:val="20"/>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Quoted prices in active markets for identical assets or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Inputs other than Level 1 prices for similar assets or liabilities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measurements discussed herein are based upon certain market assumptions and pertinent information available to management during the three months ended March 31, 2026 and 2025. The carrying amount of cash, accounts receivable, prepaid expenses and other current assets, accounts payable, accrued expenses, deferred revenue, and other current liabilities approximated their fair values as of March 31, 2026 and 2025.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Option Election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determined the January 2025 Yorkville Note, the September 2025 Yorkville Note, the Agile Notes, the 1800 Diagonal Notes, the </w:t>
      </w:r>
      <w:r>
        <w:rPr>
          <w:rFonts w:ascii="Times New Roman" w:hAnsi="Times New Roman"/>
          <w:color w:val="212529"/>
          <w:sz w:val="20"/>
        </w:rPr>
        <w:t>Private Placement Convertible Notes, and the Boot Capital Convertible Notes</w:t>
      </w:r>
      <w:r>
        <w:rPr>
          <w:rFonts w:ascii="Times New Roman" w:hAnsi="Times New Roman"/>
          <w:color w:val="000000"/>
          <w:sz w:val="20"/>
        </w:rPr>
        <w:t xml:space="preserve"> (each as defined in </w:t>
      </w:r>
      <w:r>
        <w:rPr>
          <w:rFonts w:ascii="Times New Roman" w:hAnsi="Times New Roman"/>
          <w:i/>
          <w:color w:val="000000"/>
          <w:sz w:val="20"/>
        </w:rPr>
        <w:t>Note 11 – Debt</w:t>
      </w:r>
      <w:r>
        <w:rPr>
          <w:rFonts w:ascii="Times New Roman" w:hAnsi="Times New Roman"/>
          <w:color w:val="000000"/>
          <w:sz w:val="20"/>
        </w:rPr>
        <w:t xml:space="preserve">, and together the "FVO Notes") were eligible for the fair value option, in accordance with FASB ASC 825-10-50-28, and made such election to account for these instruments at fair value. </w:t>
      </w:r>
    </w:p>
    <w:p>
      <w:pPr>
        <w:pStyle w:val="TextBody"/>
        <w:bidi w:val="0"/>
        <w:spacing w:before="200" w:after="283"/>
        <w:jc w:val="both"/>
        <w:rPr>
          <w:rFonts w:ascii="Times New Roman" w:hAnsi="Times New Roman"/>
          <w:sz w:val="20"/>
        </w:rPr>
      </w:pPr>
      <w:r>
        <w:rPr>
          <w:rFonts w:ascii="Times New Roman" w:hAnsi="Times New Roman"/>
          <w:color w:val="000000"/>
          <w:sz w:val="20"/>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w:t>
      </w:r>
      <w:r>
        <w:rPr>
          <w:rFonts w:ascii="Times New Roman" w:hAnsi="Times New Roman"/>
          <w:color w:val="212529"/>
          <w:sz w:val="20"/>
        </w:rPr>
        <w:t xml:space="preserve"> Notes</w:t>
      </w:r>
      <w:r>
        <w:rPr>
          <w:rFonts w:ascii="Times New Roman" w:hAnsi="Times New Roman"/>
          <w:color w:val="000000"/>
          <w:sz w:val="20"/>
        </w:rPr>
        <w:t xml:space="preserve"> with the Company's financial reporting objectives and reduce operational effort to account for embedded features that otherwise would require bifurcation as a separate unit of account.</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fair value option election, direct and incremental debt issuance costs and consideration paid to the respective lender were expensed as incurred and recorded in other income (expense), net in the unaudited condensed consolidated statements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The Company records the portion of the FVO</w:t>
      </w:r>
      <w:r>
        <w:rPr>
          <w:rFonts w:ascii="Times New Roman" w:hAnsi="Times New Roman"/>
          <w:color w:val="212529"/>
          <w:sz w:val="20"/>
        </w:rPr>
        <w:t xml:space="preserve"> Notes</w:t>
      </w:r>
      <w:r>
        <w:rPr>
          <w:rFonts w:ascii="Times New Roman" w:hAnsi="Times New Roman"/>
          <w:color w:val="000000"/>
          <w:sz w:val="20"/>
        </w:rPr>
        <w:t xml:space="preserve">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w:t>
      </w:r>
      <w:r>
        <w:rPr>
          <w:rFonts w:ascii="Times New Roman" w:hAnsi="Times New Roman"/>
          <w:color w:val="212529"/>
          <w:sz w:val="20"/>
        </w:rPr>
        <w:t xml:space="preserve"> Notes</w:t>
      </w:r>
      <w:r>
        <w:rPr>
          <w:rFonts w:ascii="Times New Roman" w:hAnsi="Times New Roman"/>
          <w:color w:val="000000"/>
          <w:sz w:val="20"/>
        </w:rPr>
        <w:t>, which is recorded in other comprehensive income (loss), if applicable. Measurement of the change in fair value of the FVO</w:t>
      </w:r>
      <w:r>
        <w:rPr>
          <w:rFonts w:ascii="Times New Roman" w:hAnsi="Times New Roman"/>
          <w:color w:val="212529"/>
          <w:sz w:val="20"/>
        </w:rPr>
        <w:t xml:space="preserve"> Notes</w:t>
      </w:r>
      <w:r>
        <w:rPr>
          <w:rFonts w:ascii="Times New Roman" w:hAnsi="Times New Roman"/>
          <w:color w:val="000000"/>
          <w:sz w:val="20"/>
        </w:rPr>
        <w:t xml:space="preserve"> includes accrued interest, whether paid-in-kind or cash.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Accrued interest on the FVO Notes is included in the respective debt instrument's balance on the condensed consolidated balance sheets.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November 2024, the FASB issued Accounting Standards Update (“ASU”) ASU No. 2024-03, </w:t>
      </w:r>
      <w:r>
        <w:rPr>
          <w:rFonts w:ascii="Times New Roman" w:hAnsi="Times New Roman"/>
          <w:i/>
          <w:color w:val="000000"/>
          <w:sz w:val="20"/>
        </w:rPr>
        <w:t>Disaggregation of Income Statement Expenses (Subtopic 220-40)</w:t>
      </w:r>
      <w:r>
        <w:rPr>
          <w:rFonts w:ascii="Times New Roman" w:hAnsi="Times New Roman"/>
          <w:color w:val="000000"/>
          <w:sz w:val="20"/>
        </w:rPr>
        <w:t>. The ASU requires the disaggregated disclosure of specific expense categories, including purchases of inventory, employee compensation, 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xml:space="preserve"> which provides a practical expedient to measure credit losses on accounts receivable and contract assets. This guidance is effective for periods beginning after December 15, 2025 and will be adopted prospectively. Early adoption is permitted. The adoption of this guidance did not have a material impact on our condensed consolidated financial statements and related disclosures.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Acquisitions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Vidello</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With respect to the holdback amount, this consists of three distinct components, being (1) the withholding of $1,000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of $1,000 subject to certain revenue related conditions being met during the 180 day period following the Closing (the “Revenue Holdback Amount” and together with the Indemnification Holdback Amount and the Transition Holdback Amount, the “Holdback Amount”).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2025, the Company incurred transaction costs of approximately $730 which are included in the unaudited condensed consolidated statements of operations.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Vidello Merger was accounted for as a business combination under the acquisition method pursuant to FASB ASC 805, </w:t>
      </w:r>
      <w:r>
        <w:rPr>
          <w:rFonts w:ascii="Times New Roman" w:hAnsi="Times New Roman"/>
          <w:i/>
          <w:color w:val="000000"/>
          <w:sz w:val="20"/>
        </w:rPr>
        <w:t>Business Combinations</w:t>
      </w:r>
      <w:r>
        <w:rPr>
          <w:rFonts w:ascii="Times New Roman" w:hAnsi="Times New Roman"/>
          <w:color w:val="000000"/>
          <w:sz w:val="20"/>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pStyle w:val="TextBody"/>
        <w:bidi w:val="0"/>
        <w:jc w:val="left"/>
        <w:rPr/>
      </w:pPr>
      <w:r>
        <w:rPr/>
        <w:t> </w:t>
      </w:r>
    </w:p>
    <w:tbl>
      <w:tblPr>
        <w:tblW w:w="5005" w:type="dxa"/>
        <w:jc w:val="left"/>
        <w:tblInd w:w="0" w:type="dxa"/>
        <w:tblLayout w:type="fixed"/>
        <w:tblCellMar>
          <w:top w:w="28" w:type="dxa"/>
          <w:left w:w="28" w:type="dxa"/>
          <w:bottom w:w="28" w:type="dxa"/>
          <w:right w:w="28" w:type="dxa"/>
        </w:tblCellMar>
      </w:tblPr>
      <w:tblGrid>
        <w:gridCol w:w="3886"/>
        <w:gridCol w:w="146"/>
        <w:gridCol w:w="211"/>
        <w:gridCol w:w="571"/>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at closing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to Vidello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Holdback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allocated the purchase price of the Vidello Merger to the assets acquired and liabilities assumed as of the acquisition date, as follows:</w:t>
      </w:r>
    </w:p>
    <w:p>
      <w:pPr>
        <w:pStyle w:val="TextBody"/>
        <w:bidi w:val="0"/>
        <w:jc w:val="left"/>
        <w:rPr/>
      </w:pPr>
      <w:r>
        <w:rPr/>
        <w:t> </w:t>
      </w:r>
    </w:p>
    <w:tbl>
      <w:tblPr>
        <w:tblW w:w="4945" w:type="dxa"/>
        <w:jc w:val="left"/>
        <w:tblInd w:w="0" w:type="dxa"/>
        <w:tblLayout w:type="fixed"/>
        <w:tblCellMar>
          <w:top w:w="28" w:type="dxa"/>
          <w:left w:w="28" w:type="dxa"/>
          <w:bottom w:w="28" w:type="dxa"/>
          <w:right w:w="28" w:type="dxa"/>
        </w:tblCellMar>
      </w:tblPr>
      <w:tblGrid>
        <w:gridCol w:w="3826"/>
        <w:gridCol w:w="146"/>
        <w:gridCol w:w="211"/>
        <w:gridCol w:w="57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 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Unearned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w:t>
            </w:r>
          </w:p>
        </w:tc>
        <w:tc>
          <w:tcPr>
            <w:tcW w:w="1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identifiable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 recorded: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intangible assets acquired are subject to amortization and their associated estimated useful lives are as follows:</w:t>
      </w:r>
    </w:p>
    <w:p>
      <w:pPr>
        <w:pStyle w:val="TextBody"/>
        <w:bidi w:val="0"/>
        <w:jc w:val="left"/>
        <w:rPr/>
      </w:pPr>
      <w:r>
        <w:rPr/>
        <w:t> </w:t>
      </w:r>
    </w:p>
    <w:tbl>
      <w:tblPr>
        <w:tblW w:w="3208" w:type="dxa"/>
        <w:jc w:val="left"/>
        <w:tblInd w:w="0" w:type="dxa"/>
        <w:tblLayout w:type="fixed"/>
        <w:tblCellMar>
          <w:top w:w="28" w:type="dxa"/>
          <w:left w:w="28" w:type="dxa"/>
          <w:bottom w:w="28" w:type="dxa"/>
          <w:right w:w="28" w:type="dxa"/>
        </w:tblCellMar>
      </w:tblPr>
      <w:tblGrid>
        <w:gridCol w:w="1996"/>
        <w:gridCol w:w="146"/>
        <w:gridCol w:w="106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years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years</w:t>
            </w:r>
          </w:p>
        </w:tc>
      </w:tr>
      <w:tr>
        <w:trPr/>
        <w:tc>
          <w:tcPr>
            <w:tcW w:w="19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7 - 8 years</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in the unaudited condensed consolidated statements of operations for the three months ended March 31, 2026 and 2025 includes net loss of approximately $250 and net income of $734, respectively, of Vidello from the date of acquisition to March 31,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 forma disclosure for the Vidello acquisition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 forma financial information is not necessarily indicative of the results of operations as they would have been had the transactions been effected on the assumed date:</w:t>
      </w:r>
    </w:p>
    <w:p>
      <w:pPr>
        <w:pStyle w:val="TextBody"/>
        <w:bidi w:val="0"/>
        <w:jc w:val="left"/>
        <w:rPr/>
      </w:pPr>
      <w:r>
        <w:rPr/>
        <w:t> </w:t>
      </w:r>
    </w:p>
    <w:tbl>
      <w:tblPr>
        <w:tblW w:w="8849" w:type="dxa"/>
        <w:jc w:val="left"/>
        <w:tblInd w:w="0" w:type="dxa"/>
        <w:tblLayout w:type="fixed"/>
        <w:tblCellMar>
          <w:top w:w="28" w:type="dxa"/>
          <w:left w:w="28" w:type="dxa"/>
          <w:bottom w:w="28" w:type="dxa"/>
          <w:right w:w="28" w:type="dxa"/>
        </w:tblCellMar>
      </w:tblPr>
      <w:tblGrid>
        <w:gridCol w:w="5191"/>
        <w:gridCol w:w="364"/>
        <w:gridCol w:w="1090"/>
        <w:gridCol w:w="287"/>
        <w:gridCol w:w="252"/>
        <w:gridCol w:w="364"/>
        <w:gridCol w:w="1090"/>
        <w:gridCol w:w="211"/>
      </w:tblGrid>
      <w:tr>
        <w:trPr/>
        <w:tc>
          <w:tcPr>
            <w:tcW w:w="519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(income), net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attributable to common stockholders</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 Restructuring Agreement with CP BF</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hAnsi="Times New Roman"/>
          <w:i/>
          <w:color w:val="000000"/>
          <w:sz w:val="20"/>
        </w:rPr>
        <w:t>Note 11 – Debt</w:t>
      </w:r>
      <w:r>
        <w:rPr>
          <w:rFonts w:ascii="Times New Roman" w:hAnsi="Times New Roman"/>
          <w:color w:val="000000"/>
          <w:sz w:val="20"/>
        </w:rPr>
        <w:t>, for further details related to the transaction and associated balances.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At contract inception, once the contract is determined to be within the scope of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 </w:t>
      </w:r>
    </w:p>
    <w:p>
      <w:pPr>
        <w:pStyle w:val="TextBody"/>
        <w:bidi w:val="0"/>
        <w:spacing w:before="200" w:after="283"/>
        <w:jc w:val="both"/>
        <w:rPr/>
      </w:pPr>
      <w:r>
        <w:rPr/>
        <w:t> </w:t>
      </w:r>
    </w:p>
    <w:tbl>
      <w:tblPr>
        <w:tblW w:w="7228" w:type="dxa"/>
        <w:jc w:val="left"/>
        <w:tblInd w:w="0" w:type="dxa"/>
        <w:tblLayout w:type="fixed"/>
        <w:tblCellMar>
          <w:top w:w="28" w:type="dxa"/>
          <w:left w:w="28" w:type="dxa"/>
          <w:bottom w:w="28" w:type="dxa"/>
          <w:right w:w="28" w:type="dxa"/>
        </w:tblCellMar>
      </w:tblPr>
      <w:tblGrid>
        <w:gridCol w:w="271"/>
        <w:gridCol w:w="146"/>
        <w:gridCol w:w="681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contract(s) with a customer;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identify the performance obligation(s) in the contract;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determine the transaction price;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allocate the transaction price to the performance obligation(s) in the contract; and </w:t>
            </w:r>
          </w:p>
        </w:tc>
      </w:tr>
      <w:tr>
        <w:trPr/>
        <w:tc>
          <w:tcPr>
            <w:tcW w:w="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recognize revenues when (or as) the Company satisfies a performance obligation.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recognizes revenue in an amount that reflects the consideration to which it expects to be entitled in exchange for the transfer of promised services to its customers.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evaluates the following indicators, amongst others, when determining whether it is acting as a principal in the transaction (and therefore whether to record revenue on a gross basis): (i) whether the Company is primarily responsible for fulfilling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Nature of Products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the Company’s products and services from which the Company generates revenue, as well as the nature, timing of satisfaction of performance obligations, and significant payment terms for each, as applicable: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OpenReel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Vidello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Service Trade Revenue</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one customer for which the customer is also a vendor. For this one customer, the Company exchanged services for approximately $31 and $208, during the three months ended March 31, 2026 and 2025,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revenue by region based on the billing address of customers for the three months ended March 31, 2026 and 2025:</w:t>
      </w:r>
    </w:p>
    <w:p>
      <w:pPr>
        <w:pStyle w:val="TextBody"/>
        <w:bidi w:val="0"/>
        <w:spacing w:before="0" w:after="2"/>
        <w:jc w:val="both"/>
        <w:rPr/>
      </w:pPr>
      <w:r>
        <w:rPr/>
        <w:t> </w:t>
      </w:r>
    </w:p>
    <w:tbl>
      <w:tblPr>
        <w:tblW w:w="10205" w:type="dxa"/>
        <w:jc w:val="left"/>
        <w:tblInd w:w="0" w:type="dxa"/>
        <w:tblLayout w:type="fixed"/>
        <w:tblCellMar>
          <w:top w:w="28" w:type="dxa"/>
          <w:left w:w="28" w:type="dxa"/>
          <w:bottom w:w="28" w:type="dxa"/>
          <w:right w:w="28" w:type="dxa"/>
        </w:tblCellMar>
      </w:tblPr>
      <w:tblGrid>
        <w:gridCol w:w="3217"/>
        <w:gridCol w:w="146"/>
        <w:gridCol w:w="211"/>
        <w:gridCol w:w="571"/>
        <w:gridCol w:w="146"/>
        <w:gridCol w:w="146"/>
        <w:gridCol w:w="593"/>
        <w:gridCol w:w="1287"/>
        <w:gridCol w:w="271"/>
        <w:gridCol w:w="146"/>
        <w:gridCol w:w="211"/>
        <w:gridCol w:w="571"/>
        <w:gridCol w:w="146"/>
        <w:gridCol w:w="146"/>
        <w:gridCol w:w="482"/>
        <w:gridCol w:w="1397"/>
        <w:gridCol w:w="518"/>
      </w:tblGrid>
      <w:tr>
        <w:trPr/>
        <w:tc>
          <w:tcPr>
            <w:tcW w:w="3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Revenue</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Europe, Middle East and Africa (EMEA)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accounts receivable, net as of the dates presented:</w:t>
      </w:r>
    </w:p>
    <w:p>
      <w:pPr>
        <w:pStyle w:val="TextBody"/>
        <w:bidi w:val="0"/>
        <w:jc w:val="both"/>
        <w:rPr/>
      </w:pPr>
      <w:r>
        <w:rPr/>
        <w:t> </w:t>
      </w:r>
    </w:p>
    <w:tbl>
      <w:tblPr>
        <w:tblW w:w="3455" w:type="dxa"/>
        <w:jc w:val="left"/>
        <w:tblInd w:w="0" w:type="dxa"/>
        <w:tblLayout w:type="fixed"/>
        <w:tblCellMar>
          <w:top w:w="28" w:type="dxa"/>
          <w:left w:w="28" w:type="dxa"/>
          <w:bottom w:w="28" w:type="dxa"/>
          <w:right w:w="28" w:type="dxa"/>
        </w:tblCellMar>
      </w:tblPr>
      <w:tblGrid>
        <w:gridCol w:w="2551"/>
        <w:gridCol w:w="146"/>
        <w:gridCol w:w="146"/>
        <w:gridCol w:w="42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Costs to Obtain a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activity related to costs to obtain a contract during the three months ended March 31, 2026 and 2025:</w:t>
      </w:r>
    </w:p>
    <w:p>
      <w:pPr>
        <w:pStyle w:val="TextBody"/>
        <w:bidi w:val="0"/>
        <w:jc w:val="both"/>
        <w:rPr/>
      </w:pPr>
      <w:r>
        <w:rPr/>
        <w:t> </w:t>
      </w:r>
    </w:p>
    <w:tbl>
      <w:tblPr>
        <w:tblW w:w="4280" w:type="dxa"/>
        <w:jc w:val="left"/>
        <w:tblInd w:w="0" w:type="dxa"/>
        <w:tblLayout w:type="fixed"/>
        <w:tblCellMar>
          <w:top w:w="28" w:type="dxa"/>
          <w:left w:w="28" w:type="dxa"/>
          <w:bottom w:w="28" w:type="dxa"/>
          <w:right w:w="28" w:type="dxa"/>
        </w:tblCellMar>
      </w:tblPr>
      <w:tblGrid>
        <w:gridCol w:w="3051"/>
        <w:gridCol w:w="146"/>
        <w:gridCol w:w="211"/>
        <w:gridCol w:w="481"/>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Commissions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Deferred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three months ended March 31, 2026 and the year ended December 31, 2025, the Company recognized $1,658 and $3,868 in revenue that was included in the prior year deferred revenue balance,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change in total deferred revenue was as follows for the periods indicated:</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pPr>
      <w:r>
        <w:rPr/>
        <w:t> </w:t>
      </w:r>
    </w:p>
    <w:tbl>
      <w:tblPr>
        <w:tblW w:w="9840" w:type="dxa"/>
        <w:jc w:val="left"/>
        <w:tblInd w:w="0" w:type="dxa"/>
        <w:tblLayout w:type="fixed"/>
        <w:tblCellMar>
          <w:top w:w="28" w:type="dxa"/>
          <w:left w:w="28" w:type="dxa"/>
          <w:bottom w:w="28" w:type="dxa"/>
          <w:right w:w="28" w:type="dxa"/>
        </w:tblCellMar>
      </w:tblPr>
      <w:tblGrid>
        <w:gridCol w:w="5471"/>
        <w:gridCol w:w="146"/>
        <w:gridCol w:w="470"/>
        <w:gridCol w:w="1405"/>
        <w:gridCol w:w="166"/>
        <w:gridCol w:w="146"/>
        <w:gridCol w:w="432"/>
        <w:gridCol w:w="1293"/>
        <w:gridCol w:w="31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Billings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(prior year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(current year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4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deferred revenue of Vidello (see Note 4 –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measurements discussed herein are based upon certain market assumptions and pertinent information available to management as of and during the periods ended March 31, 2026 and the year ended December 31, 2025. The carrying amount of accounts payable approximated fair value as they are short term in nature.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on a Recurring Basis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follows the guidance in FASB ASC 820, </w:t>
      </w:r>
      <w:r>
        <w:rPr>
          <w:rFonts w:ascii="Times New Roman" w:hAnsi="Times New Roman"/>
          <w:i/>
          <w:color w:val="000000"/>
          <w:sz w:val="20"/>
        </w:rPr>
        <w:t>Fair Value Measurement</w:t>
      </w:r>
      <w:r>
        <w:rPr>
          <w:rFonts w:ascii="Times New Roman" w:hAnsi="Times New Roman"/>
          <w:color w:val="000000"/>
          <w:sz w:val="20"/>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w:t>
      </w:r>
      <w:r>
        <w:rPr>
          <w:rFonts w:ascii="Times New Roman" w:hAnsi="Times New Roman"/>
          <w:color w:val="212529"/>
          <w:sz w:val="20"/>
        </w:rPr>
        <w:t>Private Placement Convertible Notes, Private Placement Warrants</w:t>
      </w:r>
      <w:r>
        <w:rPr>
          <w:rFonts w:ascii="Times New Roman" w:hAnsi="Times New Roman"/>
          <w:color w:val="000000"/>
          <w:sz w:val="20"/>
        </w:rPr>
        <w:t xml:space="preserve"> and Goodwill and Definite-lived intangible assets recognized as part of acquisitions, represent Level 3 measurements.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information about the Company’s financial instruments that are measured at fair value on a recurring basis at March 31, 2026 and December 31, 2025, and indicates the fair value hierarchy of the valuation inputs the Company utilized to determine such fair value:</w:t>
      </w:r>
    </w:p>
    <w:p>
      <w:pPr>
        <w:pStyle w:val="TextBody"/>
        <w:bidi w:val="0"/>
        <w:jc w:val="both"/>
        <w:rPr/>
      </w:pPr>
      <w:r>
        <w:rPr/>
        <w:t> </w:t>
      </w:r>
    </w:p>
    <w:tbl>
      <w:tblPr>
        <w:tblW w:w="9087" w:type="dxa"/>
        <w:jc w:val="left"/>
        <w:tblInd w:w="0" w:type="dxa"/>
        <w:tblLayout w:type="fixed"/>
        <w:tblCellMar>
          <w:top w:w="28" w:type="dxa"/>
          <w:left w:w="28" w:type="dxa"/>
          <w:bottom w:w="28" w:type="dxa"/>
          <w:right w:w="28" w:type="dxa"/>
        </w:tblCellMar>
      </w:tblPr>
      <w:tblGrid>
        <w:gridCol w:w="4851"/>
        <w:gridCol w:w="146"/>
        <w:gridCol w:w="586"/>
        <w:gridCol w:w="146"/>
        <w:gridCol w:w="1441"/>
        <w:gridCol w:w="146"/>
        <w:gridCol w:w="177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asset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Definite-lived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8,027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 public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GEM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Earnout liability (</w:t>
            </w:r>
            <w:r>
              <w:rPr>
                <w:rFonts w:ascii="Times New Roman" w:hAnsi="Times New Roman"/>
                <w:i/>
                <w:color w:val="000000"/>
                <w:sz w:val="20"/>
              </w:rPr>
              <w:t>Note 4</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991</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Yorkville 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1,200</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1,728</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1800 Diagonal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747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1,856</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296</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Bifurcated embedded derivative liability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Boot Capital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assets and liabilities that are measured at fair value on the acquisition date, see </w:t>
      </w:r>
      <w:r>
        <w:rPr>
          <w:rFonts w:ascii="Times New Roman" w:hAnsi="Times New Roman"/>
          <w:i/>
          <w:color w:val="000000"/>
          <w:sz w:val="20"/>
        </w:rPr>
        <w:t>Note 4 – Acquisitions</w:t>
      </w:r>
      <w:r>
        <w:rPr>
          <w:rFonts w:ascii="Times New Roman" w:hAnsi="Times New Roman"/>
          <w:color w:val="000000"/>
          <w:sz w:val="20"/>
        </w:rPr>
        <w: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Public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following table summarizes the changes in the fair value of the Public Warrants liability for the year ended March 31, 2026. See also </w:t>
      </w:r>
      <w:r>
        <w:rPr>
          <w:rFonts w:ascii="Times New Roman" w:hAnsi="Times New Roman"/>
          <w:i/>
          <w:color w:val="000000"/>
          <w:sz w:val="20"/>
        </w:rPr>
        <w:t>Note 12 – Warrant Liabilities.</w:t>
      </w:r>
    </w:p>
    <w:p>
      <w:pPr>
        <w:pStyle w:val="TextBody"/>
        <w:bidi w:val="0"/>
        <w:jc w:val="both"/>
        <w:rPr/>
      </w:pPr>
      <w:r>
        <w:rPr/>
        <w:t> </w:t>
      </w:r>
    </w:p>
    <w:tbl>
      <w:tblPr>
        <w:tblW w:w="4448" w:type="dxa"/>
        <w:jc w:val="left"/>
        <w:tblInd w:w="0" w:type="dxa"/>
        <w:tblLayout w:type="fixed"/>
        <w:tblCellMar>
          <w:top w:w="28" w:type="dxa"/>
          <w:left w:w="28" w:type="dxa"/>
          <w:bottom w:w="28" w:type="dxa"/>
          <w:right w:w="28" w:type="dxa"/>
        </w:tblCellMar>
      </w:tblPr>
      <w:tblGrid>
        <w:gridCol w:w="2596"/>
        <w:gridCol w:w="146"/>
        <w:gridCol w:w="573"/>
        <w:gridCol w:w="942"/>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Public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GEM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hAnsi="Times New Roman"/>
          <w:i/>
          <w:color w:val="000000"/>
          <w:sz w:val="20"/>
        </w:rPr>
        <w:t>Note 12 – Warrant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GEM Warrants liability for the year ended March 31, 2026:</w:t>
      </w:r>
    </w:p>
    <w:p>
      <w:pPr>
        <w:pStyle w:val="TextBody"/>
        <w:bidi w:val="0"/>
        <w:jc w:val="both"/>
        <w:rPr/>
      </w:pPr>
      <w:r>
        <w:rPr/>
        <w:t> </w:t>
      </w:r>
    </w:p>
    <w:tbl>
      <w:tblPr>
        <w:tblW w:w="4373" w:type="dxa"/>
        <w:jc w:val="left"/>
        <w:tblInd w:w="0" w:type="dxa"/>
        <w:tblLayout w:type="fixed"/>
        <w:tblCellMar>
          <w:top w:w="28" w:type="dxa"/>
          <w:left w:w="28" w:type="dxa"/>
          <w:bottom w:w="28" w:type="dxa"/>
          <w:right w:w="28" w:type="dxa"/>
        </w:tblCellMar>
      </w:tblPr>
      <w:tblGrid>
        <w:gridCol w:w="2596"/>
        <w:gridCol w:w="146"/>
        <w:gridCol w:w="544"/>
        <w:gridCol w:w="896"/>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GEM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Yorkville Convertible Notes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hAnsi="Times New Roman"/>
          <w:i/>
          <w:color w:val="000000"/>
          <w:sz w:val="20"/>
        </w:rPr>
        <w:t>Note 11 – Debt</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Yorkville convertible notes for the year ended March 31, 2026:</w:t>
      </w:r>
    </w:p>
    <w:p>
      <w:pPr>
        <w:pStyle w:val="TextBody"/>
        <w:bidi w:val="0"/>
        <w:jc w:val="both"/>
        <w:rPr/>
      </w:pPr>
      <w:r>
        <w:rPr/>
        <w:t> </w:t>
      </w:r>
    </w:p>
    <w:tbl>
      <w:tblPr>
        <w:tblW w:w="6913" w:type="dxa"/>
        <w:jc w:val="left"/>
        <w:tblInd w:w="0" w:type="dxa"/>
        <w:tblLayout w:type="fixed"/>
        <w:tblCellMar>
          <w:top w:w="28" w:type="dxa"/>
          <w:left w:w="28" w:type="dxa"/>
          <w:bottom w:w="28" w:type="dxa"/>
          <w:right w:w="28" w:type="dxa"/>
        </w:tblCellMar>
      </w:tblPr>
      <w:tblGrid>
        <w:gridCol w:w="4156"/>
        <w:gridCol w:w="146"/>
        <w:gridCol w:w="646"/>
        <w:gridCol w:w="1754"/>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Yorkville Convertible Note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in cash of Yorkville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Bifurcated Embedded Derivative Assets (Liabilities)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the fair value of the Derivative asset (liability) for the three months ended March 31, 2026, relating to the Convertible Note to CP BF issued on September 23, 2024:</w:t>
      </w:r>
    </w:p>
    <w:p>
      <w:pPr>
        <w:pStyle w:val="TextBody"/>
        <w:bidi w:val="0"/>
        <w:jc w:val="both"/>
        <w:rPr/>
      </w:pPr>
      <w:r>
        <w:rPr/>
        <w:t> </w:t>
      </w:r>
    </w:p>
    <w:tbl>
      <w:tblPr>
        <w:tblW w:w="9763" w:type="dxa"/>
        <w:jc w:val="left"/>
        <w:tblInd w:w="0" w:type="dxa"/>
        <w:tblLayout w:type="fixed"/>
        <w:tblCellMar>
          <w:top w:w="28" w:type="dxa"/>
          <w:left w:w="28" w:type="dxa"/>
          <w:bottom w:w="28" w:type="dxa"/>
          <w:right w:w="28" w:type="dxa"/>
        </w:tblCellMar>
      </w:tblPr>
      <w:tblGrid>
        <w:gridCol w:w="7006"/>
        <w:gridCol w:w="146"/>
        <w:gridCol w:w="861"/>
        <w:gridCol w:w="1539"/>
        <w:gridCol w:w="211"/>
      </w:tblGrid>
      <w:tr>
        <w:trPr/>
        <w:tc>
          <w:tcPr>
            <w:tcW w:w="7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Derivative Asset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2025 - Bifurcated embedded derivative asset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2026 - Bifurcated embedded derivative liability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hAnsi="Times New Roman"/>
          <w:i/>
          <w:color w:val="000000"/>
          <w:sz w:val="20"/>
        </w:rPr>
        <w:t>Financial Instruments</w:t>
      </w:r>
      <w:r>
        <w:rPr>
          <w:rFonts w:ascii="Times New Roman" w:hAnsi="Times New Roman"/>
          <w:color w:val="000000"/>
          <w:sz w:val="20"/>
        </w:rPr>
        <w:t xml:space="preserve"> (“ASC 825”).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Agile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1800 Diagonal Convertible Notes.</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3i, LP Private Placement Offering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measurement of the fair value of the Private Placement Convertible Notes was determined using a Monte Carlo simulation. Key inputs into the simulation include the remaining term, the market interest rate, risk-free rate, equity volatility, and probability of default.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Note 11 – Debt</w:t>
      </w:r>
      <w:r>
        <w:rPr>
          <w:rFonts w:ascii="Times New Roman" w:hAnsi="Times New Roman"/>
          <w:color w:val="000000"/>
          <w:sz w:val="20"/>
        </w:rPr>
        <w:t xml:space="preserve"> for a summary of the changes in the fair value of the Private Placement Convertible Notes, and to </w:t>
      </w:r>
      <w:r>
        <w:rPr>
          <w:rFonts w:ascii="Times New Roman" w:hAnsi="Times New Roman"/>
          <w:i/>
          <w:color w:val="000000"/>
          <w:sz w:val="20"/>
        </w:rPr>
        <w:t>Note 12 – Warrant Liabilities</w:t>
      </w:r>
      <w:r>
        <w:rPr>
          <w:rFonts w:ascii="Times New Roman" w:hAnsi="Times New Roman"/>
          <w:color w:val="000000"/>
          <w:sz w:val="20"/>
        </w:rPr>
        <w:t xml:space="preserve"> for a description of the warrants issued in connection with the Private Placement Offering.</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Warrant Liability - Private Placement Warrants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hAnsi="Times New Roman"/>
          <w:i/>
          <w:color w:val="000000"/>
          <w:sz w:val="20"/>
        </w:rPr>
        <w:t>Note 12 – Warrant Liabilities</w:t>
      </w:r>
      <w:r>
        <w:rPr>
          <w:rFonts w:ascii="Times New Roman" w:hAnsi="Times New Roman"/>
          <w:color w:val="000000"/>
          <w:sz w:val="20"/>
        </w:rPr>
        <w:t xml:space="preserve"> for further details.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measurement of fair value was determined utilizing a Monte Carlo simulation considering all relevant assumptions current at the date of issuance, including share price, term, risk-free rate, exercise price and dividend yield.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summarize the ranges of inputs to and the changes in the fair value of the Private Placement Warrant liability for the three months ended March 31, 2026:</w:t>
      </w:r>
    </w:p>
    <w:p>
      <w:pPr>
        <w:pStyle w:val="TextBody"/>
        <w:bidi w:val="0"/>
        <w:jc w:val="both"/>
        <w:rPr/>
      </w:pPr>
      <w:r>
        <w:rPr/>
        <w:t> </w:t>
      </w:r>
    </w:p>
    <w:tbl>
      <w:tblPr>
        <w:tblW w:w="3973" w:type="dxa"/>
        <w:jc w:val="left"/>
        <w:tblInd w:w="0" w:type="dxa"/>
        <w:tblLayout w:type="fixed"/>
        <w:tblCellMar>
          <w:top w:w="28" w:type="dxa"/>
          <w:left w:w="28" w:type="dxa"/>
          <w:bottom w:w="28" w:type="dxa"/>
          <w:right w:w="28" w:type="dxa"/>
        </w:tblCellMar>
      </w:tblPr>
      <w:tblGrid>
        <w:gridCol w:w="2071"/>
        <w:gridCol w:w="146"/>
        <w:gridCol w:w="449"/>
        <w:gridCol w:w="991"/>
        <w:gridCol w:w="31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Key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2.25 - 4.87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- 3.9%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Volatility</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 - 125.3%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$0.66 - $2.50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5963" w:type="dxa"/>
        <w:jc w:val="left"/>
        <w:tblInd w:w="0" w:type="dxa"/>
        <w:tblLayout w:type="fixed"/>
        <w:tblCellMar>
          <w:top w:w="28" w:type="dxa"/>
          <w:left w:w="28" w:type="dxa"/>
          <w:bottom w:w="28" w:type="dxa"/>
          <w:right w:w="28" w:type="dxa"/>
        </w:tblCellMar>
      </w:tblPr>
      <w:tblGrid>
        <w:gridCol w:w="3091"/>
        <w:gridCol w:w="146"/>
        <w:gridCol w:w="683"/>
        <w:gridCol w:w="1852"/>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 – 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consisted of the following at the dates indicated:</w:t>
      </w:r>
    </w:p>
    <w:p>
      <w:pPr>
        <w:pStyle w:val="TextBody"/>
        <w:bidi w:val="0"/>
        <w:jc w:val="both"/>
        <w:rPr/>
      </w:pPr>
      <w:r>
        <w:rPr/>
        <w:t> </w:t>
      </w:r>
    </w:p>
    <w:tbl>
      <w:tblPr>
        <w:tblW w:w="7825" w:type="dxa"/>
        <w:jc w:val="left"/>
        <w:tblInd w:w="0" w:type="dxa"/>
        <w:tblLayout w:type="fixed"/>
        <w:tblCellMar>
          <w:top w:w="28" w:type="dxa"/>
          <w:left w:w="28" w:type="dxa"/>
          <w:bottom w:w="28" w:type="dxa"/>
          <w:right w:w="28" w:type="dxa"/>
        </w:tblCellMar>
      </w:tblPr>
      <w:tblGrid>
        <w:gridCol w:w="3931"/>
        <w:gridCol w:w="146"/>
        <w:gridCol w:w="479"/>
        <w:gridCol w:w="961"/>
        <w:gridCol w:w="146"/>
        <w:gridCol w:w="146"/>
        <w:gridCol w:w="574"/>
        <w:gridCol w:w="1151"/>
        <w:gridCol w:w="2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insurance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merchant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Goodwill and Intangible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is a summary of goodwill by reportable segment as of and for the three months ended March 31, 2026:</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2656"/>
        <w:gridCol w:w="146"/>
        <w:gridCol w:w="525"/>
        <w:gridCol w:w="1425"/>
        <w:gridCol w:w="146"/>
        <w:gridCol w:w="146"/>
        <w:gridCol w:w="211"/>
        <w:gridCol w:w="571"/>
        <w:gridCol w:w="146"/>
        <w:gridCol w:w="146"/>
        <w:gridCol w:w="221"/>
        <w:gridCol w:w="710"/>
        <w:gridCol w:w="146"/>
        <w:gridCol w:w="146"/>
        <w:gridCol w:w="289"/>
        <w:gridCol w:w="927"/>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 Co.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21,992</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both"/>
        <w:rPr>
          <w:rFonts w:ascii="Times New Roman" w:hAnsi="Times New Roman"/>
          <w:color w:val="212529"/>
          <w:sz w:val="20"/>
        </w:rPr>
      </w:pPr>
      <w:r>
        <w:rPr>
          <w:rFonts w:ascii="Times New Roman" w:hAnsi="Times New Roman"/>
          <w:color w:val="212529"/>
          <w:sz w:val="20"/>
        </w:rPr>
        <w:t>Intangible assets subject to amortization consist of the following:</w:t>
      </w:r>
    </w:p>
    <w:p>
      <w:pPr>
        <w:pStyle w:val="TextBody"/>
        <w:bidi w:val="0"/>
        <w:jc w:val="left"/>
        <w:rPr/>
      </w:pPr>
      <w:r>
        <w:rPr/>
        <w:t> </w:t>
      </w:r>
    </w:p>
    <w:tbl>
      <w:tblPr>
        <w:tblW w:w="7154" w:type="dxa"/>
        <w:jc w:val="left"/>
        <w:tblInd w:w="0" w:type="dxa"/>
        <w:tblLayout w:type="fixed"/>
        <w:tblCellMar>
          <w:top w:w="28" w:type="dxa"/>
          <w:left w:w="28" w:type="dxa"/>
          <w:bottom w:w="28" w:type="dxa"/>
          <w:right w:w="28" w:type="dxa"/>
        </w:tblCellMar>
      </w:tblPr>
      <w:tblGrid>
        <w:gridCol w:w="2746"/>
        <w:gridCol w:w="146"/>
        <w:gridCol w:w="2611"/>
        <w:gridCol w:w="361"/>
        <w:gridCol w:w="1079"/>
        <w:gridCol w:w="21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 Life (years):</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6 - 7</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10 - 15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6 - 8</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Total amortization expense related to intangible assets was $304 for the three months ended March 31, 2026. Expected amortization expense is as follows:</w:t>
      </w:r>
    </w:p>
    <w:p>
      <w:pPr>
        <w:pStyle w:val="TextBody"/>
        <w:bidi w:val="0"/>
        <w:jc w:val="left"/>
        <w:rPr/>
      </w:pPr>
      <w:r>
        <w:rPr/>
        <w:t> </w:t>
      </w:r>
    </w:p>
    <w:tbl>
      <w:tblPr>
        <w:tblW w:w="2946" w:type="dxa"/>
        <w:jc w:val="left"/>
        <w:tblInd w:w="0" w:type="dxa"/>
        <w:tblLayout w:type="fixed"/>
        <w:tblCellMar>
          <w:top w:w="28" w:type="dxa"/>
          <w:left w:w="28" w:type="dxa"/>
          <w:bottom w:w="28" w:type="dxa"/>
          <w:right w:w="28" w:type="dxa"/>
        </w:tblCellMar>
      </w:tblPr>
      <w:tblGrid>
        <w:gridCol w:w="1681"/>
        <w:gridCol w:w="146"/>
        <w:gridCol w:w="146"/>
        <w:gridCol w:w="211"/>
        <w:gridCol w:w="57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Accrued and Other Current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at the dates indicated:</w:t>
      </w:r>
    </w:p>
    <w:p>
      <w:pPr>
        <w:pStyle w:val="TextBody"/>
        <w:bidi w:val="0"/>
        <w:jc w:val="both"/>
        <w:rPr/>
      </w:pPr>
      <w:r>
        <w:rPr/>
        <w:t> </w:t>
      </w:r>
    </w:p>
    <w:tbl>
      <w:tblPr>
        <w:tblW w:w="8270" w:type="dxa"/>
        <w:jc w:val="left"/>
        <w:tblInd w:w="0" w:type="dxa"/>
        <w:tblLayout w:type="fixed"/>
        <w:tblCellMar>
          <w:top w:w="28" w:type="dxa"/>
          <w:left w:w="28" w:type="dxa"/>
          <w:bottom w:w="28" w:type="dxa"/>
          <w:right w:w="28" w:type="dxa"/>
        </w:tblCellMar>
      </w:tblPr>
      <w:tblGrid>
        <w:gridCol w:w="4376"/>
        <w:gridCol w:w="146"/>
        <w:gridCol w:w="388"/>
        <w:gridCol w:w="1052"/>
        <w:gridCol w:w="146"/>
        <w:gridCol w:w="146"/>
        <w:gridCol w:w="465"/>
        <w:gridCol w:w="1260"/>
        <w:gridCol w:w="291"/>
      </w:tblGrid>
      <w:tr>
        <w:trPr/>
        <w:tc>
          <w:tcPr>
            <w:tcW w:w="4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accounting and professional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Excise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benefit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legal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subscription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streaming service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11. Debt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Promissory Note - GEM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 (i) 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pStyle w:val="TextBody"/>
        <w:bidi w:val="0"/>
        <w:jc w:val="both"/>
        <w:rPr>
          <w:rFonts w:ascii="Times New Roman" w:hAnsi="Times New Roman"/>
          <w:color w:val="000000"/>
          <w:sz w:val="20"/>
        </w:rPr>
      </w:pPr>
      <w:r>
        <w:rPr>
          <w:rFonts w:ascii="Times New Roman" w:hAnsi="Times New Roman"/>
          <w:color w:val="000000"/>
          <w:sz w:val="20"/>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Convertible Notes (Yorkville)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hAnsi="Times New Roman"/>
          <w:i/>
          <w:color w:val="000000"/>
          <w:sz w:val="20"/>
        </w:rPr>
        <w:t>Note 14 – Equity</w:t>
      </w:r>
      <w:r>
        <w:rPr>
          <w:rFonts w:ascii="Times New Roman" w:hAnsi="Times New Roman"/>
          <w:color w:val="000000"/>
          <w:sz w:val="20"/>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May 22, 2024, the Company and Yorkville entered into an Amended and Restated Debt Repayment Agreement (the “Amended Debt Repayment Agreement”) with respect to the Yorkville Promissory Notes, which amends and restates the Original Debt Repayment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Yorkville Promissory Notes have a maturity date (as modified by the Floor Price Reduction Agreement) of January 17, 2025, and accrue interest at 0% per annum, subject to an increase to 18% per annum upon events of default as defined in the agreement. As of March 31, 2026, no events of default have occurred. </w:t>
      </w:r>
    </w:p>
    <w:p>
      <w:pPr>
        <w:pStyle w:val="TextBody"/>
        <w:bidi w:val="0"/>
        <w:jc w:val="both"/>
        <w:rPr>
          <w:rFonts w:ascii="Times New Roman" w:hAnsi="Times New Roman"/>
          <w:sz w:val="20"/>
        </w:rPr>
      </w:pPr>
      <w:r>
        <w:rPr>
          <w:rFonts w:ascii="Times New Roman" w:hAnsi="Times New Roman"/>
          <w:color w:val="000000"/>
          <w:sz w:val="20"/>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During January 2024, the Company’s stock price fell below the then in effect Floor Price (as defined in the Standby Equity Purchase Agreement disclosure in </w:t>
      </w:r>
      <w:r>
        <w:rPr>
          <w:rFonts w:ascii="Times New Roman" w:hAnsi="Times New Roman"/>
          <w:i/>
          <w:color w:val="000000"/>
          <w:sz w:val="20"/>
        </w:rPr>
        <w:t>Note 14 – Equity</w:t>
      </w:r>
      <w:r>
        <w:rPr>
          <w:rFonts w:ascii="Times New Roman" w:hAnsi="Times New Roman"/>
          <w:color w:val="000000"/>
          <w:sz w:val="20"/>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245 Class A Common stock of the Company. During the year ended December 31, 2024, the full outstanding principal amount of $750 under the March Yorkville Promissory Note was converted into 750 shares of Class A Common Stock.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30, 2025 (the “Issuance Date”), in connection with and pursuant to the terms of the SEPA (refer to </w:t>
      </w:r>
      <w:r>
        <w:rPr>
          <w:rFonts w:ascii="Times New Roman" w:hAnsi="Times New Roman"/>
          <w:i/>
          <w:color w:val="000000"/>
          <w:sz w:val="20"/>
        </w:rPr>
        <w:t>Note 14 – Equity</w:t>
      </w:r>
      <w:r>
        <w:rPr>
          <w:rFonts w:ascii="Times New Roman" w:hAnsi="Times New Roman"/>
          <w:color w:val="000000"/>
          <w:sz w:val="20"/>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 </w:t>
      </w:r>
    </w:p>
    <w:p>
      <w:pPr>
        <w:pStyle w:val="TextBody"/>
        <w:bidi w:val="0"/>
        <w:jc w:val="both"/>
        <w:rPr>
          <w:rFonts w:ascii="Times New Roman" w:hAnsi="Times New Roman"/>
          <w:sz w:val="20"/>
        </w:rPr>
      </w:pPr>
      <w:r>
        <w:rPr>
          <w:rFonts w:ascii="Times New Roman" w:hAnsi="Times New Roman"/>
          <w:color w:val="000000"/>
          <w:sz w:val="20"/>
        </w:rPr>
        <w:t>The January 2025 Yorkville Note had a maturity date of July 31, 2025, but may be extended at the option of the Company. Beginning on the 30</w:t>
      </w:r>
      <w:r>
        <w:rPr>
          <w:rFonts w:ascii="Times New Roman" w:hAnsi="Times New Roman"/>
          <w:color w:val="000000"/>
          <w:sz w:val="11"/>
        </w:rPr>
        <w:t>th</w:t>
      </w:r>
      <w:r>
        <w:rPr>
          <w:rFonts w:ascii="Times New Roman" w:hAnsi="Times New Roman"/>
          <w:color w:val="000000"/>
          <w:sz w:val="20"/>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pStyle w:val="TextBody"/>
        <w:bidi w:val="0"/>
        <w:jc w:val="both"/>
        <w:rPr>
          <w:rFonts w:ascii="Times New Roman" w:hAnsi="Times New Roman"/>
          <w:sz w:val="20"/>
        </w:rPr>
      </w:pPr>
      <w:r>
        <w:rPr>
          <w:rFonts w:ascii="Times New Roman" w:hAnsi="Times New Roman"/>
          <w:color w:val="000000"/>
          <w:sz w:val="20"/>
        </w:rPr>
        <w:t>The September 2025 Yorkville Note was issued on September 16, 2025 and the maturity date of the September 2025 Yorkville Note is March 16, 2026, but may be extended at the option of the Company. Beginning on the 30</w:t>
      </w:r>
      <w:r>
        <w:rPr>
          <w:rFonts w:ascii="Times New Roman" w:hAnsi="Times New Roman"/>
          <w:color w:val="000000"/>
          <w:sz w:val="13"/>
        </w:rPr>
        <w:t>th</w:t>
      </w:r>
      <w:r>
        <w:rPr>
          <w:rFonts w:ascii="Times New Roman" w:hAnsi="Times New Roman"/>
          <w:color w:val="000000"/>
          <w:sz w:val="20"/>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6, 2025, the Company issued an Advance Notice to Yorkville pursuant to the SEPA in which the Company requested the purchase of 5,750 shares of the Company's Class A Common Stock at a purchase price of $61.60 for a total purchase price of $354 to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be applied against the outstanding Yorkville Convertible Notes. Upon settlement on October 8, 2025, the Company issued 5,750 shares of Class A Common Stock to Yorkville.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 and Convertible notes - related party (CP BF)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March 31, 2026. If not sooner converted or prepaid, the Convertible Note principal together with accrued and unpaid interest thereon, unpaid fees and expenses and any other Obligations then due, shall be paid on the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Convertible notes - related party (CP BF restructuring)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hAnsi="Times New Roman"/>
          <w:i/>
          <w:color w:val="000000"/>
          <w:sz w:val="20"/>
        </w:rPr>
        <w:t>Debt</w:t>
      </w:r>
      <w:r>
        <w:rPr>
          <w:rFonts w:ascii="Times New Roman" w:hAnsi="Times New Roman"/>
          <w:color w:val="000000"/>
          <w:sz w:val="20"/>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may voluntarily prepay the principal of the 2024 CP BF Convertible Note, in accordance with their terms, in whole or in part at any time. On the date of any such prepayment, the Company will owe to Lender: (i) all accrued interest with respect to the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2024 CP BF Convertible Note has an embedded redemption put feature upon a Prepayment and Default Interest triggering events.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October 2024, CP BF exercised its optional conversion option in which it received 278 Class A Common Stock at the fixed conversion price per share of $778.00 in satisfaction of $216 of the Company's obligations under the 2024 CP BF Convertible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2,843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effective interest rate for the 2024 CP BF Convertible Note was approximately 15.4% as of March 31, 2026. For the three months ended March 31, 2026 and 2025, interest expense on the 2024 CP BF Convertible Note totaled $194 and $335,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2024 CP BF Convertible Note as of March 31, 2026 and December 31, 2025:</w:t>
      </w:r>
    </w:p>
    <w:p>
      <w:pPr>
        <w:pStyle w:val="TextBody"/>
        <w:bidi w:val="0"/>
        <w:jc w:val="both"/>
        <w:rPr/>
      </w:pPr>
      <w:r>
        <w:rPr/>
        <w:t> </w:t>
      </w:r>
    </w:p>
    <w:tbl>
      <w:tblPr>
        <w:tblW w:w="7675" w:type="dxa"/>
        <w:jc w:val="left"/>
        <w:tblInd w:w="0" w:type="dxa"/>
        <w:tblLayout w:type="fixed"/>
        <w:tblCellMar>
          <w:top w:w="28" w:type="dxa"/>
          <w:left w:w="28" w:type="dxa"/>
          <w:bottom w:w="28" w:type="dxa"/>
          <w:right w:w="28" w:type="dxa"/>
        </w:tblCellMar>
      </w:tblPr>
      <w:tblGrid>
        <w:gridCol w:w="4246"/>
        <w:gridCol w:w="146"/>
        <w:gridCol w:w="315"/>
        <w:gridCol w:w="945"/>
        <w:gridCol w:w="166"/>
        <w:gridCol w:w="146"/>
        <w:gridCol w:w="376"/>
        <w:gridCol w:w="1124"/>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Face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premium,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the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made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CP BF convertible notes and 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CP BF Letter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pStyle w:val="TextBody"/>
        <w:bidi w:val="0"/>
        <w:jc w:val="both"/>
        <w:rPr>
          <w:rFonts w:ascii="Times New Roman" w:hAnsi="Times New Roman"/>
          <w:color w:val="000000"/>
          <w:sz w:val="20"/>
        </w:rPr>
      </w:pPr>
      <w:r>
        <w:rPr>
          <w:rFonts w:ascii="Times New Roman" w:hAnsi="Times New Roman"/>
          <w:color w:val="000000"/>
          <w:sz w:val="20"/>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pStyle w:val="TextBody"/>
        <w:bidi w:val="0"/>
        <w:jc w:val="both"/>
        <w:rPr>
          <w:rFonts w:ascii="Times New Roman" w:hAnsi="Times New Roman"/>
          <w:color w:val="000000"/>
          <w:sz w:val="20"/>
        </w:rPr>
      </w:pPr>
      <w:r>
        <w:rPr>
          <w:rFonts w:ascii="Times New Roman" w:hAnsi="Times New Roman"/>
          <w:color w:val="000000"/>
          <w:sz w:val="20"/>
        </w:rPr>
        <w:t>The Company's failure to comply with the Letter Agreement shall constitute an Event of Default under the Loan Agreement.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2025 CP BF Conversions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Notes payable, carried at fair value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Agile Term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pStyle w:val="TextBody"/>
        <w:bidi w:val="0"/>
        <w:jc w:val="both"/>
        <w:rPr>
          <w:rFonts w:ascii="Times New Roman" w:hAnsi="Times New Roman"/>
          <w:color w:val="000000"/>
          <w:sz w:val="20"/>
        </w:rPr>
      </w:pPr>
      <w:r>
        <w:rPr>
          <w:rFonts w:ascii="Times New Roman" w:hAnsi="Times New Roman"/>
          <w:color w:val="000000"/>
          <w:sz w:val="20"/>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12, 2025, the Company issued a subordinated secured promissory note (the “June Agile Note”) for an aggregate principal amount of $263 and received net proceeds of $250, after administrative agent fees $13 paid to Agile Funding. The June Agile note has a maturity date of December 15, 2025 and bears interest at a rate of 48%.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30, 2026, the Company issued a subordinated secured promissory note (the “March 2026 Agile Note”) for an aggregate principal amount of $90 and received net proceeds of $85, after administrative agent fees $5 paid to Agile Funding. The March 2026 Agile note has a maturity date of October 27, 2026 and bears interest at a rate of 44%.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Following the issuance of the March Agile Note, the Company entered into a series of exchange and forbearance arrangements with Agile and Agile Funding, relating to the outstanding balance of the March Agile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in the outstanding balance of the March Agile Note. Following these exchanges, the outstanding balance of the March Agile Note was reduced to approximately $1,179.</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expense on the Agile Notes totaled $0 and $450 for the three months ended March 31, 2026 and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presents the Agile Notes for the three months ended March 31, 2026:</w:t>
      </w:r>
    </w:p>
    <w:p>
      <w:pPr>
        <w:pStyle w:val="TextBody"/>
        <w:bidi w:val="0"/>
        <w:jc w:val="left"/>
        <w:rPr/>
      </w:pPr>
      <w:r>
        <w:rPr/>
        <w:t> </w:t>
      </w:r>
    </w:p>
    <w:tbl>
      <w:tblPr>
        <w:tblW w:w="6283" w:type="dxa"/>
        <w:jc w:val="left"/>
        <w:tblInd w:w="0" w:type="dxa"/>
        <w:tblLayout w:type="fixed"/>
        <w:tblCellMar>
          <w:top w:w="28" w:type="dxa"/>
          <w:left w:w="28" w:type="dxa"/>
          <w:bottom w:w="28" w:type="dxa"/>
          <w:right w:w="28" w:type="dxa"/>
        </w:tblCellMar>
      </w:tblPr>
      <w:tblGrid>
        <w:gridCol w:w="4336"/>
        <w:gridCol w:w="146"/>
        <w:gridCol w:w="429"/>
        <w:gridCol w:w="1161"/>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Agile Term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Agile term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Convertible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September, December, February, April, May, July, September 2025, November, December 2025, Note #11 and Note #12 described above are together referred to as the “1800 Diagonal Notes.” Interest on the 1800 Diagonal Notes accrues commencing on and including the issuance date pursuant to the respective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hAnsi="Times New Roman"/>
          <w:i/>
          <w:color w:val="000000"/>
          <w:sz w:val="20"/>
        </w:rPr>
        <w:t>Note 7 –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1800 Diagonal Notes totaled approximately $115 and $37 for the three months ended March 31, 2026 and 2025, respectively.</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presents the 1800 Diagonal Notes three months ended March 31, 2026:</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tbl>
      <w:tblPr>
        <w:tblW w:w="6043" w:type="dxa"/>
        <w:jc w:val="left"/>
        <w:tblInd w:w="0" w:type="dxa"/>
        <w:tblLayout w:type="fixed"/>
        <w:tblCellMar>
          <w:top w:w="28" w:type="dxa"/>
          <w:left w:w="28" w:type="dxa"/>
          <w:bottom w:w="28" w:type="dxa"/>
          <w:right w:w="28" w:type="dxa"/>
        </w:tblCellMar>
      </w:tblPr>
      <w:tblGrid>
        <w:gridCol w:w="4336"/>
        <w:gridCol w:w="146"/>
        <w:gridCol w:w="411"/>
        <w:gridCol w:w="939"/>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1800 Diagonal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3i, LP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hAnsi="Times New Roman"/>
          <w:i/>
          <w:color w:val="212529"/>
          <w:sz w:val="20"/>
        </w:rPr>
        <w:t>Note 14 – Equity</w:t>
      </w:r>
      <w:r>
        <w:rPr>
          <w:rFonts w:ascii="Times New Roman" w:hAnsi="Times New Roman"/>
          <w:color w:val="212529"/>
          <w:sz w:val="20"/>
        </w:rPr>
        <w:t>, for further description of the Warrants issued in the Private Placement Offering.</w:t>
      </w:r>
    </w:p>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pStyle w:val="TextBody"/>
        <w:bidi w:val="0"/>
        <w:jc w:val="both"/>
        <w:rPr/>
      </w:pPr>
      <w:r>
        <w:rPr/>
        <w:t> </w:t>
      </w:r>
    </w:p>
    <w:tbl>
      <w:tblPr>
        <w:tblW w:w="10748" w:type="dxa"/>
        <w:jc w:val="left"/>
        <w:tblInd w:w="0" w:type="dxa"/>
        <w:tblLayout w:type="fixed"/>
        <w:tblCellMar>
          <w:top w:w="28" w:type="dxa"/>
          <w:left w:w="28" w:type="dxa"/>
          <w:bottom w:w="28" w:type="dxa"/>
          <w:right w:w="28" w:type="dxa"/>
        </w:tblCellMar>
      </w:tblPr>
      <w:tblGrid>
        <w:gridCol w:w="841"/>
        <w:gridCol w:w="146"/>
        <w:gridCol w:w="826"/>
        <w:gridCol w:w="146"/>
        <w:gridCol w:w="961"/>
        <w:gridCol w:w="146"/>
        <w:gridCol w:w="211"/>
        <w:gridCol w:w="571"/>
        <w:gridCol w:w="146"/>
        <w:gridCol w:w="146"/>
        <w:gridCol w:w="218"/>
        <w:gridCol w:w="593"/>
        <w:gridCol w:w="146"/>
        <w:gridCol w:w="146"/>
        <w:gridCol w:w="251"/>
        <w:gridCol w:w="680"/>
        <w:gridCol w:w="146"/>
        <w:gridCol w:w="146"/>
        <w:gridCol w:w="251"/>
        <w:gridCol w:w="680"/>
        <w:gridCol w:w="146"/>
        <w:gridCol w:w="146"/>
        <w:gridCol w:w="826"/>
        <w:gridCol w:w="146"/>
        <w:gridCol w:w="146"/>
        <w:gridCol w:w="676"/>
        <w:gridCol w:w="146"/>
        <w:gridCol w:w="146"/>
        <w:gridCol w:w="211"/>
        <w:gridCol w:w="571"/>
        <w:gridCol w:w="19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Closing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Note Issued by </w:t>
              <w:br/>
              <w:t>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Principal Amount of the 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Proceeds Received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Conversion Floor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Buyer Warrants Issued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Buyer Warrant Exercise Price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3i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3i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12529"/>
          <w:sz w:val="20"/>
        </w:rPr>
      </w:pPr>
      <w:r>
        <w:rPr>
          <w:rFonts w:ascii="Times New Roman" w:hAnsi="Times New Roman"/>
          <w:color w:val="212529"/>
          <w:sz w:val="20"/>
        </w:rPr>
        <w:t xml:space="preserve">The Private Placement Notes were issued with an original issue discount of 10.0% and accrue interest at a rate of 10.0% per annum. </w:t>
      </w:r>
    </w:p>
    <w:p>
      <w:pPr>
        <w:pStyle w:val="TextBody"/>
        <w:bidi w:val="0"/>
        <w:jc w:val="both"/>
        <w:rPr>
          <w:rFonts w:ascii="Times New Roman" w:hAnsi="Times New Roman"/>
          <w:color w:val="212529"/>
          <w:sz w:val="20"/>
        </w:rPr>
      </w:pPr>
      <w:r>
        <w:rPr>
          <w:rFonts w:ascii="Times New Roman" w:hAnsi="Times New Roman"/>
          <w:color w:val="212529"/>
          <w:sz w:val="20"/>
        </w:rPr>
        <w:t xml:space="preserve">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212529"/>
          <w:sz w:val="20"/>
        </w:rPr>
      </w:pPr>
      <w:r>
        <w:rPr>
          <w:rFonts w:ascii="Times New Roman" w:hAnsi="Times New Roman"/>
          <w:color w:val="212529"/>
          <w:sz w:val="20"/>
        </w:rPr>
        <w:t>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hAnsi="Times New Roman"/>
          <w:i/>
          <w:color w:val="000000"/>
          <w:sz w:val="20"/>
        </w:rPr>
        <w:t xml:space="preserve">Note 11 – Debt </w:t>
      </w:r>
      <w:r>
        <w:rPr>
          <w:rFonts w:ascii="Times New Roman" w:hAnsi="Times New Roman"/>
          <w:color w:val="000000"/>
          <w:sz w:val="20"/>
        </w:rPr>
        <w:t>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pStyle w:val="TextBody"/>
        <w:bidi w:val="0"/>
        <w:jc w:val="left"/>
        <w:rPr/>
      </w:pPr>
      <w:r>
        <w:rPr/>
        <w:t> </w:t>
      </w:r>
    </w:p>
    <w:p>
      <w:pPr>
        <w:pStyle w:val="TextBody"/>
        <w:bidi w:val="0"/>
        <w:jc w:val="both"/>
        <w:rPr>
          <w:rFonts w:ascii="Times New Roman" w:hAnsi="Times New Roman"/>
          <w:color w:val="212529"/>
          <w:sz w:val="20"/>
        </w:rPr>
      </w:pPr>
      <w:r>
        <w:rPr>
          <w:rFonts w:ascii="Times New Roman" w:hAnsi="Times New Roman"/>
          <w:color w:val="212529"/>
          <w:sz w:val="20"/>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7, 2026 and February 10, 2026, the Buyer exercised its contractual conversion option multiple times under the August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3i Note and received an aggregate of 36,667 shares of Class A Common Stock at a conversion price per share of $22.20 in satisfaction of $807 of the Company's obligations under the August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on the Private Placement Convertible Notes totaled approximately $182 for the three months ended March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Private Placement Convertible Notes as of March 31, 2026:</w:t>
      </w:r>
    </w:p>
    <w:p>
      <w:pPr>
        <w:pStyle w:val="TextBody"/>
        <w:bidi w:val="0"/>
        <w:jc w:val="left"/>
        <w:rPr/>
      </w:pPr>
      <w:r>
        <w:rPr/>
        <w:t> </w:t>
      </w:r>
    </w:p>
    <w:tbl>
      <w:tblPr>
        <w:tblW w:w="5818" w:type="dxa"/>
        <w:jc w:val="left"/>
        <w:tblInd w:w="0" w:type="dxa"/>
        <w:tblLayout w:type="fixed"/>
        <w:tblCellMar>
          <w:top w:w="28" w:type="dxa"/>
          <w:left w:w="28" w:type="dxa"/>
          <w:bottom w:w="28" w:type="dxa"/>
          <w:right w:w="28" w:type="dxa"/>
        </w:tblCellMar>
      </w:tblPr>
      <w:tblGrid>
        <w:gridCol w:w="4336"/>
        <w:gridCol w:w="146"/>
        <w:gridCol w:w="282"/>
        <w:gridCol w:w="843"/>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3i, LP Notes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Private Placement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Boot Capital</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Boot Capital Note include optional conversion rights to the holder upon an event of default, contingent redemption (put) rights which trigger mandatory prepayment upon event of default, and defaulted contingent interest upon an event of default.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Due to these embedded features, the Company elected to account for the Boot Capital Note at fair value pursuant to ASC 825. For further discussion of fair value, see </w:t>
      </w:r>
      <w:r>
        <w:rPr>
          <w:rFonts w:ascii="Times New Roman" w:hAnsi="Times New Roman"/>
          <w:i/>
          <w:color w:val="000000"/>
          <w:sz w:val="20"/>
        </w:rPr>
        <w:t>Note 7 – Fair Value Measurements.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Boot Capital Convertible Note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Boot Capital Convertible Note as of March 31, 2026:</w:t>
      </w:r>
    </w:p>
    <w:p>
      <w:pPr>
        <w:pStyle w:val="TextBody"/>
        <w:bidi w:val="0"/>
        <w:jc w:val="left"/>
        <w:rPr/>
      </w:pPr>
      <w:r>
        <w:rPr/>
        <w:t> </w:t>
      </w:r>
    </w:p>
    <w:tbl>
      <w:tblPr>
        <w:tblW w:w="5858" w:type="dxa"/>
        <w:jc w:val="left"/>
        <w:tblInd w:w="0" w:type="dxa"/>
        <w:tblLayout w:type="fixed"/>
        <w:tblCellMar>
          <w:top w:w="28" w:type="dxa"/>
          <w:left w:w="28" w:type="dxa"/>
          <w:bottom w:w="28" w:type="dxa"/>
          <w:right w:w="28" w:type="dxa"/>
        </w:tblCellMar>
      </w:tblPr>
      <w:tblGrid>
        <w:gridCol w:w="4336"/>
        <w:gridCol w:w="146"/>
        <w:gridCol w:w="394"/>
        <w:gridCol w:w="79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Boot Capital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principal 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Warrant Liabilities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assumed Public Warrants in the Merger, exercisable into 1,150 shares of Common Stock of the Company, and which remained outstanding as of March 31,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Redemption of Public Warrants When the price per Share of Class A Common Stock Equals or Exceeds $180,000.00</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Public Warrants become exercisable, the Company may redeem the outstanding Public Warrants: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a price of $100.00 per Warrant;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upon a minimum of 30 days' prior written notice of redemption (the "30-day redemption period");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 w:hAnsi="Times New Roman"/>
          <w:i/>
          <w:color w:val="000000"/>
          <w:sz w:val="20"/>
        </w:rPr>
        <w:t>Warrants—Public Stockholder Warrants—Anti-dilution Adjustments</w:t>
      </w:r>
      <w:r>
        <w:rPr>
          <w:rFonts w:ascii="Times New Roman" w:hAnsi="Times New Roman"/>
          <w:color w:val="000000"/>
          <w:sz w:val="20"/>
        </w:rPr>
        <w:t>” in the Resale Registration Statement) for any 20 trading days within a 30-trading day period ending three trading days before the Company sends the notice of redemption to the warrant holders.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0"/>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hAnsi="Times New Roman"/>
          <w:i/>
          <w:color w:val="000000"/>
          <w:sz w:val="20"/>
        </w:rPr>
        <w:t>Warrants—Public Stockholder Warrants—Anti-dilution Adjustments</w:t>
      </w:r>
      <w:r>
        <w:rPr>
          <w:rFonts w:ascii="Times New Roman" w:hAnsi="Times New Roman"/>
          <w:color w:val="000000"/>
          <w:sz w:val="20"/>
        </w:rPr>
        <w:t>” in the Resale Registration Statement) as well as the $115,000.00 per share (for whole shares) Public Warrant exercise price after the redemption notice is issued.</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GEM Financing Arrangement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GEM Letter, see </w:t>
      </w:r>
      <w:r>
        <w:rPr>
          <w:rFonts w:ascii="Times New Roman" w:hAnsi="Times New Roman"/>
          <w:i/>
          <w:color w:val="000000"/>
          <w:sz w:val="20"/>
        </w:rPr>
        <w:t>Note 11 – Debt</w:t>
      </w:r>
      <w:r>
        <w:rPr>
          <w:rFonts w:ascii="Times New Roman" w:hAnsi="Times New Roman"/>
          <w:color w:val="000000"/>
          <w:sz w:val="20"/>
        </w:rPr>
        <w:t xml:space="preserve"> for further details, at Closing, the GEM Warrant automatically became an obligation of the Company, and on December 15, 2023, the Company issued the GEM Warrant granting GEM the right to purchase 83 shares at an exercise price of $65,120.00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GEM Warrant may not be exercised if such exercise would result in the beneficial ownership of the holder and its affiliates in excess of 9.99% of the then-issued and outstanding shares of Common Stock.</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Private Placement Offering Warrants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In association with the Private Placement Convertible Notes, see </w:t>
      </w:r>
      <w:r>
        <w:rPr>
          <w:rFonts w:ascii="Times New Roman" w:hAnsi="Times New Roman"/>
          <w:i/>
          <w:color w:val="000000"/>
          <w:sz w:val="20"/>
        </w:rPr>
        <w:t>Note 11 – Debt</w:t>
      </w:r>
      <w:r>
        <w:rPr>
          <w:rFonts w:ascii="Times New Roman" w:hAnsi="Times New Roman"/>
          <w:color w:val="000000"/>
          <w:sz w:val="20"/>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hAnsi="Times New Roman"/>
          <w:i/>
          <w:color w:val="000000"/>
          <w:sz w:val="20"/>
        </w:rPr>
        <w:t>Note 7 – Fair Value Measurements.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an operating lease for its office space. Supplemental cash flow information related to leases are as follows:</w:t>
      </w:r>
    </w:p>
    <w:p>
      <w:pPr>
        <w:pStyle w:val="TextBody"/>
        <w:bidi w:val="0"/>
        <w:jc w:val="both"/>
        <w:rPr/>
      </w:pPr>
      <w:r>
        <w:rPr/>
        <w:t> </w:t>
      </w:r>
    </w:p>
    <w:tbl>
      <w:tblPr>
        <w:tblW w:w="9749" w:type="dxa"/>
        <w:jc w:val="left"/>
        <w:tblInd w:w="0" w:type="dxa"/>
        <w:tblLayout w:type="fixed"/>
        <w:tblCellMar>
          <w:top w:w="28" w:type="dxa"/>
          <w:left w:w="28" w:type="dxa"/>
          <w:bottom w:w="28" w:type="dxa"/>
          <w:right w:w="28" w:type="dxa"/>
        </w:tblCellMar>
      </w:tblPr>
      <w:tblGrid>
        <w:gridCol w:w="5866"/>
        <w:gridCol w:w="146"/>
        <w:gridCol w:w="570"/>
        <w:gridCol w:w="732"/>
        <w:gridCol w:w="448"/>
        <w:gridCol w:w="394"/>
        <w:gridCol w:w="570"/>
        <w:gridCol w:w="732"/>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 (operating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lease liabilities (operating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Sidley Austin LLP</w:t>
      </w:r>
    </w:p>
    <w:p>
      <w:pPr>
        <w:pStyle w:val="TextBody"/>
        <w:bidi w:val="0"/>
        <w:jc w:val="both"/>
        <w:rPr>
          <w:rFonts w:ascii="Times New Roman" w:hAnsi="Times New Roman"/>
          <w:color w:val="000000"/>
          <w:sz w:val="20"/>
        </w:rPr>
      </w:pPr>
      <w:r>
        <w:rPr>
          <w:rFonts w:ascii="Times New Roman" w:hAnsi="Times New Roman"/>
          <w:color w:val="000000"/>
          <w:sz w:val="20"/>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Donnelley Financial LLC</w:t>
      </w:r>
    </w:p>
    <w:p>
      <w:pPr>
        <w:pStyle w:val="TextBody"/>
        <w:bidi w:val="0"/>
        <w:jc w:val="both"/>
        <w:rPr>
          <w:rFonts w:ascii="Times New Roman" w:hAnsi="Times New Roman"/>
          <w:color w:val="000000"/>
          <w:sz w:val="20"/>
        </w:rPr>
      </w:pPr>
      <w:r>
        <w:rPr>
          <w:rFonts w:ascii="Times New Roman" w:hAnsi="Times New Roman"/>
          <w:color w:val="000000"/>
          <w:sz w:val="20"/>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 is included in accrued expenses and other current liabilities on the condensed consolidated balance sheets as of March 31, 2026.</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Repayment Agreement with Verista Partners, Inc.</w:t>
      </w:r>
    </w:p>
    <w:p>
      <w:pPr>
        <w:pStyle w:val="TextBody"/>
        <w:bidi w:val="0"/>
        <w:jc w:val="both"/>
        <w:rPr>
          <w:rFonts w:ascii="Times New Roman" w:hAnsi="Times New Roman"/>
          <w:color w:val="000000"/>
          <w:sz w:val="20"/>
        </w:rPr>
      </w:pPr>
      <w:r>
        <w:rPr>
          <w:rFonts w:ascii="Times New Roman" w:hAnsi="Times New Roman"/>
          <w:color w:val="000000"/>
          <w:sz w:val="20"/>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1, 2024, and on the first day of each month thereafter through January 1, 2026. As of March 31, 2026, the Company had issued 3,000 shares and made aggregate installment payments of $78 to Verista. The remaining unpaid balance of $46 is included in Accounts Payable on the condensed consolidated balance sheets as of March 31, 2026.</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Legal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14.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capital stock consists of Class A Common Stock, Class B Common Stock, Preferred Stock and Series FE Preferred Stock. All classes of stock have a par value of $0.0001 per share. The table below sets forth information about the Company’s equity, as of March 31, 2026: </w:t>
      </w:r>
    </w:p>
    <w:p>
      <w:pPr>
        <w:pStyle w:val="TextBody"/>
        <w:bidi w:val="0"/>
        <w:spacing w:before="200" w:after="283"/>
        <w:jc w:val="both"/>
        <w:rPr/>
      </w:pPr>
      <w:r>
        <w:rPr/>
        <w:t> </w:t>
      </w:r>
    </w:p>
    <w:tbl>
      <w:tblPr>
        <w:tblW w:w="6482" w:type="dxa"/>
        <w:jc w:val="left"/>
        <w:tblInd w:w="0" w:type="dxa"/>
        <w:tblLayout w:type="fixed"/>
        <w:tblCellMar>
          <w:top w:w="28" w:type="dxa"/>
          <w:left w:w="28" w:type="dxa"/>
          <w:bottom w:w="28" w:type="dxa"/>
          <w:right w:w="28" w:type="dxa"/>
        </w:tblCellMar>
      </w:tblPr>
      <w:tblGrid>
        <w:gridCol w:w="2206"/>
        <w:gridCol w:w="146"/>
        <w:gridCol w:w="146"/>
        <w:gridCol w:w="1141"/>
        <w:gridCol w:w="146"/>
        <w:gridCol w:w="146"/>
        <w:gridCol w:w="146"/>
        <w:gridCol w:w="781"/>
        <w:gridCol w:w="146"/>
        <w:gridCol w:w="146"/>
        <w:gridCol w:w="179"/>
        <w:gridCol w:w="962"/>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Series FE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350,000,001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867,355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Class A and B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has the authority to issue preferred stock and to determine the rights, privileges, preferences, restrictions, and voting rights of those shares.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Series FE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Yorkville Standby Equity Purchase Agreement ("SEPA")</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95% of the average daily Volume Weighted Average Price (“VWAP”) of the Class A Common Stock on the Nasdaq Stock Market (“Nasdaq”), subject to certain conditions per the SEPA (the “Option 1 Pricing Period; or</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96% of the lowest daily VWAP of the Class A Common Stock during the three trading days commencing on the Advance Notice date, subject to certain conditions per the SEPA (the “Option 2 Pricing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March 31, 2026 the Company requested the purchase of a total of 15,875 shares of the Company’s Class A common stock in connection with the Option 1 Advances, which Yorkville purchased for a total purchase price of approximately $336. The Company recognized a loss of approximately $14 on the sales during the three months ended March 31, 2026, which represents the difference between the fair value of the shares issued and the proceeds received from the sales.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 requested the purchase of a total of 15,875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$14 in the aggregate, the fair values of which represented the intrinsic value of the requested number of shares of Class A common stock on the Advance Notice dates. The Company recognized a loss of approximately $14 during the three months ended March 31, 2026 representing the change in fair value of the derivative liabilities during the period from the Advance Notice dates and the settlement dates of the Option 2 Advances. Upon settlement of the Option 2 Advances, the Company sold an aggregate of 15,875 shares of the Company’s Class A common stock to Yorkville for total proceeds of approximately $336.</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during the three months ended March 31, 2026, the Company settled five Advance Notices subject to the Option 2 Pricing Period issued on December 30, 2024, and accordingly sold 31,750 of the Company’s Class A common stock to Yorkville for proceeds of approximately $701.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under ATM Agreement</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the Company issued 107,258 shares under the ATM Agreement for net proceeds of approximately $2,636.</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Hudson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3, 2025, the Company issued 750 restricted shares of its Common Stock, with a determined fair value of $231, partially in exchange for the business advisory services outlined in the consulting agreement with Hudson Global Ventures, LLC, a Nevada limited liability company ("Hudson"). On April 25, 2025, July 1, 2025 and September 3, 2025, the Company issued 2,000, 1,180, and 2,600,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respectively, restricted shares of its Class A Common Stock to Hudson, in exchange for certain business advisory services as outlined in a consulting agreement with Hudson, executed on April 1,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to Verista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August 26, 2024, the Company issued 150 shares of its Common Stock, with a determined fair value of $50, in partial settlement of amounts owing to Verista. Refer to </w:t>
      </w:r>
      <w:r>
        <w:rPr>
          <w:rFonts w:ascii="Times New Roman" w:hAnsi="Times New Roman"/>
          <w:i/>
          <w:color w:val="000000"/>
          <w:sz w:val="20"/>
        </w:rPr>
        <w:t>Note 13 – Commitments and Contingencies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Shares Issued for RSU</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and 2025, 38,304 and 1,689 RSUs vested into shares of Class A Common Stock of the Company.</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Vidello Acquisition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disclosed above, on January 31, 2025, the Company closed a previously announced merger with Vidello. As part of the consideration paid to the Vidello Shareholders, the Company issued 4,491 shares of Class A Common Stock, with a determined fair value of $1,662. Refer to </w:t>
      </w:r>
      <w:r>
        <w:rPr>
          <w:rFonts w:ascii="Times New Roman" w:hAnsi="Times New Roman"/>
          <w:i/>
          <w:color w:val="000000"/>
          <w:sz w:val="20"/>
        </w:rPr>
        <w:t>Note 4 – Acquisitions</w:t>
      </w:r>
      <w:r>
        <w:rPr>
          <w:rFonts w:ascii="Times New Roman" w:hAnsi="Times New Roman"/>
          <w:color w:val="000000"/>
          <w:sz w:val="20"/>
        </w:rPr>
        <w:t xml:space="preserve"> for further detail.</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pre-funded warrant exercise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On January 7, 2025, the Company issued 4 shares of Class A Common Stock to CP BF, resulting from the exercise by CP BF of exercise of four (4) pre-funded warrants under the CP BF Pre-Funded Warrant. See </w:t>
      </w:r>
      <w:r>
        <w:rPr>
          <w:rFonts w:ascii="Times New Roman" w:hAnsi="Times New Roman"/>
          <w:i/>
          <w:color w:val="000000"/>
          <w:sz w:val="20"/>
        </w:rPr>
        <w:t>Note 12 – Warrant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21, 2025, the Company issued 5,244 shares of Class A Common Stock to Alco, resulting from the exercise by Alco of pre-funded warrants purchased during September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26, 2025, the Company issued 58,832 shares of Class A Common Stock to FE IV Aggregator, resulting from the exercise by FE IV Aggregator of Pre-Funded Warrants held by FE Aggregator as part of the OpenReel Merger Consideration.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Shares Issued for private placement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15. 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stock option activity under the 2021 Equity Incentive Plan ("Plan") during the three months ended March 31, 2026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61"/>
        <w:gridCol w:w="146"/>
        <w:gridCol w:w="396"/>
        <w:gridCol w:w="1145"/>
        <w:gridCol w:w="146"/>
        <w:gridCol w:w="146"/>
        <w:gridCol w:w="335"/>
        <w:gridCol w:w="1481"/>
        <w:gridCol w:w="146"/>
        <w:gridCol w:w="146"/>
        <w:gridCol w:w="638"/>
        <w:gridCol w:w="2039"/>
        <w:gridCol w:w="146"/>
        <w:gridCol w:w="146"/>
        <w:gridCol w:w="376"/>
        <w:gridCol w:w="617"/>
        <w:gridCol w:w="195"/>
      </w:tblGrid>
      <w:tr>
        <w:trPr/>
        <w:tc>
          <w:tcPr>
            <w:tcW w:w="1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 Underlying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2026 and 2025, the Company recorded stock-based compensation expense related to stock options of $23 and $22, which is included in general and administrative expense. As of March 31, 2026 and 2025, $203 and $191 of unrecognized compensation expense related to non-vested awards is expected to be recognized over the weighted average period of 8.87 and 9.25</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years, respectively. The aggregate intrinsic value is calculated as the difference between the fair value of the Company’s stock price and the exercise price of the options.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summary of the RSU activity during the three months ended March 31, 2026 is as follows: </w:t>
      </w:r>
    </w:p>
    <w:p>
      <w:pPr>
        <w:pStyle w:val="TextBody"/>
        <w:bidi w:val="0"/>
        <w:jc w:val="both"/>
        <w:rPr/>
      </w:pPr>
      <w:r>
        <w:rPr/>
        <w:t> </w:t>
      </w:r>
    </w:p>
    <w:tbl>
      <w:tblPr>
        <w:tblW w:w="7757" w:type="dxa"/>
        <w:jc w:val="left"/>
        <w:tblInd w:w="0" w:type="dxa"/>
        <w:tblLayout w:type="fixed"/>
        <w:tblCellMar>
          <w:top w:w="28" w:type="dxa"/>
          <w:left w:w="28" w:type="dxa"/>
          <w:bottom w:w="28" w:type="dxa"/>
          <w:right w:w="28" w:type="dxa"/>
        </w:tblCellMar>
      </w:tblPr>
      <w:tblGrid>
        <w:gridCol w:w="2941"/>
        <w:gridCol w:w="146"/>
        <w:gridCol w:w="146"/>
        <w:gridCol w:w="736"/>
        <w:gridCol w:w="166"/>
        <w:gridCol w:w="146"/>
        <w:gridCol w:w="781"/>
        <w:gridCol w:w="250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and 2025, the Company recorded total stock-based compensation expense related to RSUs of $1,065 and $315, respectively, which is included in general and administrative expense. As of March 31, 2026 and 2025, unrecognized compensation cost related to the grant of RSUs was $1,542 and $191, respectively. Unvested outstanding RSUs as of March 31, 2026 and 2025 had a weighted average remaining vesting period of 1.73 and 2.25 years, respectively.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CEO Award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The CEO Award is equity-classified and the grant-date fair value was estimated using a Monte Carlo simulation model, using historical volatility as a key input. The Company recognized $220 of stock-based compensation expense related to this award for the three months ended March 31, 2026.</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estimates an annual effective tax rate of 19% for the year ended December 31, 2026. The effective tax rate for the three months ended March 31,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March 31, 2026, the Company had no unrecognized tax benefits that would reduce the Company’s effective tax rate if recognized.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17. Segment Reporting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March 31,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41"/>
        <w:gridCol w:w="146"/>
        <w:gridCol w:w="334"/>
        <w:gridCol w:w="1003"/>
        <w:gridCol w:w="166"/>
        <w:gridCol w:w="146"/>
        <w:gridCol w:w="251"/>
        <w:gridCol w:w="680"/>
        <w:gridCol w:w="346"/>
        <w:gridCol w:w="346"/>
        <w:gridCol w:w="240"/>
        <w:gridCol w:w="481"/>
        <w:gridCol w:w="366"/>
        <w:gridCol w:w="346"/>
        <w:gridCol w:w="375"/>
        <w:gridCol w:w="1126"/>
        <w:gridCol w:w="312"/>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Vidello</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5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5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4,083</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3,567</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information about segments for the three months ended March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98"/>
        <w:gridCol w:w="146"/>
        <w:gridCol w:w="332"/>
        <w:gridCol w:w="997"/>
        <w:gridCol w:w="166"/>
        <w:gridCol w:w="146"/>
        <w:gridCol w:w="251"/>
        <w:gridCol w:w="680"/>
        <w:gridCol w:w="346"/>
        <w:gridCol w:w="346"/>
        <w:gridCol w:w="265"/>
        <w:gridCol w:w="531"/>
        <w:gridCol w:w="346"/>
        <w:gridCol w:w="346"/>
        <w:gridCol w:w="373"/>
        <w:gridCol w:w="1122"/>
        <w:gridCol w:w="314"/>
      </w:tblGrid>
      <w:tr>
        <w:trPr/>
        <w:tc>
          <w:tcPr>
            <w:tcW w:w="3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Banzai Operating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OpenReel</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Vidello</w:t>
            </w:r>
            <w:r>
              <w:rPr>
                <w:rFonts w:ascii="Times New Roman" w:hAnsi="Times New Roman"/>
                <w:color w:val="000000"/>
                <w:sz w:val="13"/>
              </w:rPr>
              <w:t>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Consolidated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People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 and 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PubCo. Expenses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 xml:space="preserve">The Vidello acquisition occurred on January 31, 2025 (refer to </w:t>
      </w:r>
      <w:r>
        <w:rPr>
          <w:rFonts w:ascii="Times New Roman" w:hAnsi="Times New Roman"/>
          <w:i/>
          <w:color w:val="000000"/>
          <w:sz w:val="20"/>
        </w:rPr>
        <w:t>Note 4 – Acquisitions</w:t>
      </w:r>
      <w:r>
        <w:rPr>
          <w:rFonts w:ascii="Times New Roman" w:hAnsi="Times New Roman"/>
          <w:color w:val="000000"/>
          <w:sz w:val="20"/>
        </w:rPr>
        <w:t xml:space="preserve"> and therefore does not represent activity for the full three month period.</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 xml:space="preserve">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reconciliation between EBITDA by reportable segment to consolidated net loss before income taxes for the three months ended March 31, 2026, and 2025 is as follows:</w:t>
      </w:r>
    </w:p>
    <w:tbl>
      <w:tblPr>
        <w:tblW w:w="7760" w:type="dxa"/>
        <w:jc w:val="left"/>
        <w:tblInd w:w="0" w:type="dxa"/>
        <w:tblLayout w:type="fixed"/>
        <w:tblCellMar>
          <w:top w:w="28" w:type="dxa"/>
          <w:left w:w="28" w:type="dxa"/>
          <w:bottom w:w="28" w:type="dxa"/>
          <w:right w:w="28" w:type="dxa"/>
        </w:tblCellMar>
      </w:tblPr>
      <w:tblGrid>
        <w:gridCol w:w="4011"/>
        <w:gridCol w:w="146"/>
        <w:gridCol w:w="361"/>
        <w:gridCol w:w="1079"/>
        <w:gridCol w:w="166"/>
        <w:gridCol w:w="146"/>
        <w:gridCol w:w="361"/>
        <w:gridCol w:w="1079"/>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Banzai Operating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OpenReel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Vidello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to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Disaggregation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percentage of revenue generated by SaaS product for the three months ended March 31, 2026 and 2025:</w:t>
      </w:r>
    </w:p>
    <w:p>
      <w:pPr>
        <w:pStyle w:val="TextBody"/>
        <w:bidi w:val="0"/>
        <w:jc w:val="left"/>
        <w:rPr/>
      </w:pPr>
      <w:r>
        <w:rPr/>
        <w:t> </w:t>
      </w:r>
    </w:p>
    <w:tbl>
      <w:tblPr>
        <w:tblW w:w="4015" w:type="dxa"/>
        <w:jc w:val="left"/>
        <w:tblInd w:w="0" w:type="dxa"/>
        <w:tblLayout w:type="fixed"/>
        <w:tblCellMar>
          <w:top w:w="28" w:type="dxa"/>
          <w:left w:w="28" w:type="dxa"/>
          <w:bottom w:w="28" w:type="dxa"/>
          <w:right w:w="28" w:type="dxa"/>
        </w:tblCellMar>
      </w:tblPr>
      <w:tblGrid>
        <w:gridCol w:w="1036"/>
        <w:gridCol w:w="146"/>
        <w:gridCol w:w="198"/>
        <w:gridCol w:w="777"/>
        <w:gridCol w:w="369"/>
        <w:gridCol w:w="198"/>
        <w:gridCol w:w="198"/>
        <w:gridCol w:w="777"/>
        <w:gridCol w:w="316"/>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Demio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OpenReel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Vidello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disaggregation of revenue by geographic area, refer to </w:t>
      </w:r>
      <w:r>
        <w:rPr>
          <w:rFonts w:ascii="Times New Roman" w:hAnsi="Times New Roman"/>
          <w:i/>
          <w:color w:val="000000"/>
          <w:sz w:val="20"/>
        </w:rPr>
        <w:t>Note 6 – Revenue</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No cash or fractional shares were issued in connection with the Reverse Stock Split, and instead the Company rounded up to the next whole share in lieu of issuing fractional shares that would have been issued in the reverse split. </w:t>
      </w:r>
      <w:r>
        <w:rPr>
          <w:rFonts w:ascii="Times New Roman" w:hAnsi="Times New Roman"/>
          <w:color w:val="212529"/>
          <w:sz w:val="20"/>
        </w:rPr>
        <w:t>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Exchange Agreements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Vesting of Employee Awards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See </w:t>
      </w:r>
      <w:r>
        <w:rPr>
          <w:rFonts w:ascii="Times New Roman" w:hAnsi="Times New Roman"/>
          <w:i/>
          <w:color w:val="000000"/>
          <w:sz w:val="20"/>
        </w:rPr>
        <w:t>Note 15 – Stock-Based Compensation</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Yorkville Advanced Notice Settlements and Conversions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CP BF Letter Agreement</w:t>
      </w:r>
      <w:r>
        <w:rPr>
          <w:rFonts w:ascii="Times New Roman" w:hAnsi="Times New Roman"/>
          <w:color w:val="000000"/>
          <w:sz w:val="20"/>
        </w:rPr>
        <w:t xml:space="preserve"> </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1800 Diagonal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4, 2026, the Company issued the thirteenth promissory note for an aggregate principal amount of approximately $206 and received net proceeds of approximately $150, after discount and transaction fees. The note has a maturity date of January 30, 2027, and bears interest at 14%.</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Venture Issuance and Payoff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TVT Capital Issuance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April 28, 2026, the Company executed a promissory note for an aggregate principal amount of approximately $834 and received net proceeds of approximately $579, after discount and transaction fees. The note has a maturity date of January 5, 2027, and bears interest at 106.71% per annum.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Common Stock Issuances</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3i, LP Conversions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BANZAI INTERNATIONAL, INC.</w:t>
      </w:r>
    </w:p>
    <w:p>
      <w:pPr>
        <w:pStyle w:val="TextBody"/>
        <w:bidi w:val="0"/>
        <w:jc w:val="center"/>
        <w:rPr>
          <w:rFonts w:ascii="Times New Roman" w:hAnsi="Times New Roman"/>
          <w:b/>
          <w:color w:val="000000"/>
          <w:sz w:val="20"/>
        </w:rPr>
      </w:pPr>
      <w:r>
        <w:rPr>
          <w:rFonts w:ascii="Times New Roman" w:hAnsi="Times New Roman"/>
          <w:b/>
          <w:color w:val="000000"/>
          <w:sz w:val="20"/>
        </w:rPr>
        <w:t>Unaudited Notes to Condensed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(Dollar amounts in thousands unless otherwise stated, except share and per share data)</w:t>
      </w:r>
    </w:p>
    <w:p>
      <w:pPr>
        <w:pStyle w:val="TextBody"/>
        <w:bidi w:val="0"/>
        <w:jc w:val="center"/>
        <w:rPr/>
      </w:pPr>
      <w:r>
        <w:rPr/>
        <w:t> </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1800 Diagonal Conversions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8" w:name="item7_mda"/>
      <w:bookmarkEnd w:id="8"/>
      <w:r>
        <w:rPr>
          <w:rFonts w:ascii="Times New Roman" w:hAnsi="Times New Roman"/>
          <w:b/>
          <w:color w:val="000000"/>
          <w:sz w:val="20"/>
        </w:rPr>
        <w:t>Item 2. Management’s Discussion and Analysis of Financial Condition and Results of Operations.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that are included elsewhere in this Quarterly Report on Form 10-Q ("Report"). In addition to historical condensed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more fully described in this report and those more fully described elsewhere in this Report and in the "Risk Factors" section of our Annual Report on Form 10-K for the year ended December 31, 2025.</w:t>
      </w:r>
    </w:p>
    <w:p>
      <w:pPr>
        <w:pStyle w:val="TextBody"/>
        <w:bidi w:val="0"/>
        <w:jc w:val="both"/>
        <w:rPr>
          <w:rFonts w:ascii="Times New Roman" w:hAnsi="Times New Roman"/>
          <w:i/>
          <w:color w:val="000000"/>
          <w:sz w:val="20"/>
        </w:rPr>
      </w:pPr>
      <w:r>
        <w:rPr>
          <w:rFonts w:ascii="Times New Roman" w:hAnsi="Times New Roman"/>
          <w:i/>
          <w:color w:val="000000"/>
          <w:sz w:val="20"/>
        </w:rPr>
        <w:t>Unless otherwise indicated, all dollar amounts included in this Management’s Discussion and Analysis are presented in thousands. 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condensed consolidated financial statements or in the associated text. Certain other amounts that appear in this section may similarly not sum due to rounding.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is a Marketing Technology (MarTech) company that produces data-driven marketing and sales solutions for businesses of all sizes. Our mission is to help our customers accomplish their mission - by enabling better marketing, sales, and customer engagement outcomes. Banzai endeavors to acquire companies strategically positioned to enhance our product and service offerings, increasing the value provided to current and prospective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was founded in 2015. The first product Banzai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and both Vidello and the assets of Superblocks in 2025, further expanding our platform and customer base.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First Quarter 2026 Financial and Operational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decreased 20.2% to $2.7 million for first quarter 2026 compared to first quarter 2025. Total cost of revenue decreased by 14.0% quarter over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reached $2.2 million for first quarter 2026, compared to $2.8 million in first quarter 2025. Gross profit was 80.7% in first quarter 2026 compared to 82.1% in first quarter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increased to $8.4 million for first quarter 2026, compared to $3.6 million in first quarter 2025, which represents a $4.8 million decline quarter over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remained at $8.1 million as of March 31, 2026; we converted $3.8 million of debt to equity, and raised an additional $3.3 million from the SEPA and ATM during first quarter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Closed an additional tranche of $2.3 million debt in February 2026 as part of our $11 million debt facility with an institutional investor to support ongoing operations and solidify the foundation for future growth.</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Transaction Announcement</w:t>
      </w:r>
    </w:p>
    <w:p>
      <w:pPr>
        <w:pStyle w:val="TextBody"/>
        <w:bidi w:val="0"/>
        <w:jc w:val="both"/>
        <w:rPr>
          <w:rFonts w:ascii="Times New Roman" w:hAnsi="Times New Roman"/>
          <w:color w:val="000000"/>
          <w:sz w:val="20"/>
        </w:rPr>
      </w:pPr>
      <w:r>
        <w:rPr>
          <w:rFonts w:ascii="Times New Roman" w:hAnsi="Times New Roman"/>
          <w:color w:val="000000"/>
          <w:sz w:val="20"/>
        </w:rPr>
        <w:t xml:space="preserve">As previously disclosed, on March 23, 2026, the Company announced that it reached an agreement on terms to acquire assets of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ConnectAndSell, Inc. (“ConnectAndSell”), an AI-powered sales enablement platform serving B2B organizations across financial services, healthcare, technology, and other industries. The acquisition is expected to increase Banzai’s annual revenue. The two companies have executed a non-binding letter of intent and continue to negotiate material terms of the transaction. Since the transaction is subject to execution of a definitive agreement and closing conditions, we cannot accurately estimate the closing date at this time. There can be no assurance that we will be able to complete this acquisition.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Nasdaq Listing Compliance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Business Combination and Public Company Costs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Under this method of accounting, 7GC was treated as the acquired company for financial statement reporting purposes. Accordingly, for accounting purposes, the financial statements of Banzai represent a continuation of the financial statements of Legacy Banzai with the Business Combination treated as the equivalent of Legacy Banzai issuing stock for the net assets of 7GC, accompanied by a recapitalization. The net assets of 7GC were stated at historical cost, with no goodwill or other intangible assets recorded. Operations prior to the Business Combination are those of Legacy Banzai in this and future reports of Banzai.</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Due to the Business Combination, we became the successor to an SEC-registered and Nasdaq-listed company, which required Banzai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Banzai’s historical results of operations and financial position as a result of the Business Combination.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67"/>
        <w:gridCol w:w="146"/>
        <w:gridCol w:w="252"/>
        <w:gridCol w:w="754"/>
        <w:gridCol w:w="198"/>
        <w:gridCol w:w="174"/>
        <w:gridCol w:w="252"/>
        <w:gridCol w:w="754"/>
        <w:gridCol w:w="166"/>
        <w:gridCol w:w="146"/>
        <w:gridCol w:w="211"/>
        <w:gridCol w:w="631"/>
        <w:gridCol w:w="166"/>
        <w:gridCol w:w="146"/>
        <w:gridCol w:w="146"/>
        <w:gridCol w:w="631"/>
        <w:gridCol w:w="965"/>
      </w:tblGrid>
      <w:tr>
        <w:trPr/>
        <w:tc>
          <w:tcPr>
            <w:tcW w:w="4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96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96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96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The percentage changes included in the tables herein present favorable period-over-period amounts and percentages as positive and unfavorable as negative, and percentages not considered meaningful as “NM."</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Comparison of the three months ended March 31, 2026 and 2025</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Analysis</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1486"/>
        <w:gridCol w:w="146"/>
        <w:gridCol w:w="286"/>
        <w:gridCol w:w="775"/>
        <w:gridCol w:w="198"/>
        <w:gridCol w:w="198"/>
        <w:gridCol w:w="286"/>
        <w:gridCol w:w="775"/>
        <w:gridCol w:w="146"/>
        <w:gridCol w:w="146"/>
        <w:gridCol w:w="211"/>
        <w:gridCol w:w="48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from Banzai Operating, OpenReel and Vidello decreased by approximately $134, $65, and $484 respectively, for the three months ended March 31,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Cost of Revenue Analysis</w:t>
      </w:r>
    </w:p>
    <w:p>
      <w:pPr>
        <w:pStyle w:val="TextBody"/>
        <w:bidi w:val="0"/>
        <w:jc w:val="both"/>
        <w:rPr/>
      </w:pPr>
      <w:r>
        <w:rPr/>
        <w:t> </w:t>
      </w:r>
    </w:p>
    <w:tbl>
      <w:tblPr>
        <w:tblW w:w="6259" w:type="dxa"/>
        <w:jc w:val="left"/>
        <w:tblInd w:w="0" w:type="dxa"/>
        <w:tblLayout w:type="fixed"/>
        <w:tblCellMar>
          <w:top w:w="28" w:type="dxa"/>
          <w:left w:w="28" w:type="dxa"/>
          <w:bottom w:w="28" w:type="dxa"/>
          <w:right w:w="28" w:type="dxa"/>
        </w:tblCellMar>
      </w:tblPr>
      <w:tblGrid>
        <w:gridCol w:w="1486"/>
        <w:gridCol w:w="146"/>
        <w:gridCol w:w="341"/>
        <w:gridCol w:w="682"/>
        <w:gridCol w:w="236"/>
        <w:gridCol w:w="236"/>
        <w:gridCol w:w="341"/>
        <w:gridCol w:w="682"/>
        <w:gridCol w:w="146"/>
        <w:gridCol w:w="146"/>
        <w:gridCol w:w="221"/>
        <w:gridCol w:w="331"/>
        <w:gridCol w:w="153"/>
        <w:gridCol w:w="153"/>
        <w:gridCol w:w="153"/>
        <w:gridCol w:w="490"/>
        <w:gridCol w:w="3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Cost of revenue from OpenReel and Vidello decreased by approximately $10, and $88, respectively, partially offset by Banzai Operating, which increased by approximately $13 for the three months ended March 31, 2026.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Gross Profit Analysis</w:t>
      </w:r>
    </w:p>
    <w:p>
      <w:pPr>
        <w:pStyle w:val="TextBody"/>
        <w:bidi w:val="0"/>
        <w:jc w:val="both"/>
        <w:rPr/>
      </w:pPr>
      <w:r>
        <w:rPr/>
        <w:t> </w:t>
      </w:r>
    </w:p>
    <w:tbl>
      <w:tblPr>
        <w:tblW w:w="6494" w:type="dxa"/>
        <w:jc w:val="left"/>
        <w:tblInd w:w="0" w:type="dxa"/>
        <w:tblLayout w:type="fixed"/>
        <w:tblCellMar>
          <w:top w:w="28" w:type="dxa"/>
          <w:left w:w="28" w:type="dxa"/>
          <w:bottom w:w="28" w:type="dxa"/>
          <w:right w:w="28" w:type="dxa"/>
        </w:tblCellMar>
      </w:tblPr>
      <w:tblGrid>
        <w:gridCol w:w="1486"/>
        <w:gridCol w:w="146"/>
        <w:gridCol w:w="286"/>
        <w:gridCol w:w="775"/>
        <w:gridCol w:w="198"/>
        <w:gridCol w:w="198"/>
        <w:gridCol w:w="286"/>
        <w:gridCol w:w="775"/>
        <w:gridCol w:w="146"/>
        <w:gridCol w:w="146"/>
        <w:gridCol w:w="211"/>
        <w:gridCol w:w="481"/>
        <w:gridCol w:w="166"/>
        <w:gridCol w:w="146"/>
        <w:gridCol w:w="146"/>
        <w:gridCol w:w="526"/>
        <w:gridCol w:w="3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Gross profit from Banzai Operating, OpenReel and Vidello decreased by approximately $147, $55 and $396, respectively, for the three months ended March 31, 2026.</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 xml:space="preserve">Operating Expense Analysis </w:t>
      </w:r>
    </w:p>
    <w:p>
      <w:pPr>
        <w:pStyle w:val="TextBody"/>
        <w:bidi w:val="0"/>
        <w:jc w:val="both"/>
        <w:rPr/>
      </w:pPr>
      <w:r>
        <w:rPr/>
        <w:t> </w:t>
      </w:r>
    </w:p>
    <w:tbl>
      <w:tblPr>
        <w:tblW w:w="7064" w:type="dxa"/>
        <w:jc w:val="left"/>
        <w:tblInd w:w="0" w:type="dxa"/>
        <w:tblLayout w:type="fixed"/>
        <w:tblCellMar>
          <w:top w:w="28" w:type="dxa"/>
          <w:left w:w="28" w:type="dxa"/>
          <w:bottom w:w="28" w:type="dxa"/>
          <w:right w:w="28" w:type="dxa"/>
        </w:tblCellMar>
      </w:tblPr>
      <w:tblGrid>
        <w:gridCol w:w="2161"/>
        <w:gridCol w:w="146"/>
        <w:gridCol w:w="286"/>
        <w:gridCol w:w="775"/>
        <w:gridCol w:w="198"/>
        <w:gridCol w:w="198"/>
        <w:gridCol w:w="286"/>
        <w:gridCol w:w="775"/>
        <w:gridCol w:w="146"/>
        <w:gridCol w:w="146"/>
        <w:gridCol w:w="211"/>
        <w:gridCol w:w="481"/>
        <w:gridCol w:w="166"/>
        <w:gridCol w:w="146"/>
        <w:gridCol w:w="146"/>
        <w:gridCol w:w="421"/>
        <w:gridCol w:w="37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Total operating expenses remained essentially flat compared to the prior period. Salaries, taxes and benefits, as well as stock-based compensation expense increased during the three months ended March 31, 2026 driven by Banzai Operating and OpenReel. These were partially offset by decreases in marketing expenses and technology expenses during the three months ended March 31, 2026 at Banzai Operating and OpenReel, respectively.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Expense Analysis</w:t>
      </w:r>
    </w:p>
    <w:p>
      <w:pPr>
        <w:pStyle w:val="TextBody"/>
        <w:bidi w:val="0"/>
        <w:jc w:val="both"/>
        <w:rPr/>
      </w:pPr>
      <w:r>
        <w:rPr/>
        <w:t> </w:t>
      </w:r>
    </w:p>
    <w:tbl>
      <w:tblPr>
        <w:tblW w:w="7430" w:type="dxa"/>
        <w:jc w:val="left"/>
        <w:tblInd w:w="0" w:type="dxa"/>
        <w:tblLayout w:type="fixed"/>
        <w:tblCellMar>
          <w:top w:w="28" w:type="dxa"/>
          <w:left w:w="28" w:type="dxa"/>
          <w:bottom w:w="28" w:type="dxa"/>
          <w:right w:w="28" w:type="dxa"/>
        </w:tblCellMar>
      </w:tblPr>
      <w:tblGrid>
        <w:gridCol w:w="2146"/>
        <w:gridCol w:w="146"/>
        <w:gridCol w:w="277"/>
        <w:gridCol w:w="751"/>
        <w:gridCol w:w="192"/>
        <w:gridCol w:w="192"/>
        <w:gridCol w:w="277"/>
        <w:gridCol w:w="830"/>
        <w:gridCol w:w="166"/>
        <w:gridCol w:w="146"/>
        <w:gridCol w:w="211"/>
        <w:gridCol w:w="631"/>
        <w:gridCol w:w="166"/>
        <w:gridCol w:w="146"/>
        <w:gridCol w:w="146"/>
        <w:gridCol w:w="63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months ended March 31, 2026, we reported total other income of approximately $2.7 million. The change in other expenses (income), net was primarily driven by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interest expense of approximately $0.2 million recognized during the three months ended March 31, 2026 compared to $0.4 million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on extinguishment of liabilities of approximately $4.3 million recognized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issuance of debt of approximately $49 during the three months ended March 31, 2026 compared to $0.3 million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Private Placement Issuance of debt of approximately $1.6 million during the three months ended March 31,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extinguishment of debt, net of approximately $6 during the three months ended March 31, 2026 compared to $1.8 million during the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on SEPA advances to Yorkville of approximately $28 during the three months ended March 31, 2026 compared to $0.4 million three months ended March 31,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was approximately $550 expense during the three months ended March 31, 2026 compared to approximately $125 income during the three months ended March 31, 2025.</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jc w:val="both"/>
        <w:rPr/>
      </w:pPr>
      <w:r>
        <w:rPr/>
        <w:t> </w:t>
      </w:r>
    </w:p>
    <w:tbl>
      <w:tblPr>
        <w:tblW w:w="7575" w:type="dxa"/>
        <w:jc w:val="left"/>
        <w:tblInd w:w="0" w:type="dxa"/>
        <w:tblLayout w:type="fixed"/>
        <w:tblCellMar>
          <w:top w:w="28" w:type="dxa"/>
          <w:left w:w="28" w:type="dxa"/>
          <w:bottom w:w="28" w:type="dxa"/>
          <w:right w:w="28" w:type="dxa"/>
        </w:tblCellMar>
      </w:tblPr>
      <w:tblGrid>
        <w:gridCol w:w="2461"/>
        <w:gridCol w:w="146"/>
        <w:gridCol w:w="373"/>
        <w:gridCol w:w="664"/>
        <w:gridCol w:w="293"/>
        <w:gridCol w:w="258"/>
        <w:gridCol w:w="373"/>
        <w:gridCol w:w="558"/>
        <w:gridCol w:w="146"/>
        <w:gridCol w:w="146"/>
        <w:gridCol w:w="211"/>
        <w:gridCol w:w="481"/>
        <w:gridCol w:w="166"/>
        <w:gridCol w:w="146"/>
        <w:gridCol w:w="146"/>
        <w:gridCol w:w="631"/>
        <w:gridCol w:w="37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Due to our history of losses since inception, there is not enough evidence at this time to support that we will generate future income of a sufficient amount and nature to utilize the benefits of our net deferred tax assets associated with the U.S. taxing jurisdiction.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Accordingly, the U.S. deferred tax assets have been reduced by a full valuation allowance, since we cannot currently support that realization of our deferred tax assets is more likely than not.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March 31, 2026, we had no unrecognized tax benefits that would impact our effective tax rate if recognized.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critical accounting estimates are described in our Annual Report on Form 10</w:t>
        <w:noBreakHyphen/>
        <w:t>K for the year ended December 31, 2025. There were no material changes to those critical accounting estimates during the three months ended March 31, 2026.</w:t>
      </w:r>
    </w:p>
    <w:p>
      <w:pPr>
        <w:pStyle w:val="TextBody"/>
        <w:bidi w:val="0"/>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Adjusted EBITDA does not consider the potentially dilutive impact of stock-based compensation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impairment and restructuring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interest expense or other income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income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does not reflect audit, legal, incremental accounting and other expenses tied to M&amp;A or the Business Combination;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including companies in our own industry, may calculate Adjusted EBITDA differently from the way we do, limiting its usefulness as a comparative measure.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Because of these limitations, Adjusted EBITDA should only be considered alongside results prepared in accordance with GAAP, including various cash-flow metrics, net income (loss) and our other GAAP results and financial performance measures.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Adjusted EBITDA Analysis</w:t>
      </w:r>
    </w:p>
    <w:p>
      <w:pPr>
        <w:pStyle w:val="TextBody"/>
        <w:bidi w:val="0"/>
        <w:jc w:val="both"/>
        <w:rPr/>
      </w:pPr>
      <w:r>
        <w:rPr/>
        <w:t> </w:t>
      </w:r>
    </w:p>
    <w:tbl>
      <w:tblPr>
        <w:tblW w:w="7068" w:type="dxa"/>
        <w:jc w:val="left"/>
        <w:tblInd w:w="0" w:type="dxa"/>
        <w:tblLayout w:type="fixed"/>
        <w:tblCellMar>
          <w:top w:w="28" w:type="dxa"/>
          <w:left w:w="28" w:type="dxa"/>
          <w:bottom w:w="28" w:type="dxa"/>
          <w:right w:w="28" w:type="dxa"/>
        </w:tblCellMar>
      </w:tblPr>
      <w:tblGrid>
        <w:gridCol w:w="2146"/>
        <w:gridCol w:w="146"/>
        <w:gridCol w:w="266"/>
        <w:gridCol w:w="796"/>
        <w:gridCol w:w="209"/>
        <w:gridCol w:w="184"/>
        <w:gridCol w:w="266"/>
        <w:gridCol w:w="796"/>
        <w:gridCol w:w="166"/>
        <w:gridCol w:w="146"/>
        <w:gridCol w:w="211"/>
        <w:gridCol w:w="481"/>
        <w:gridCol w:w="166"/>
        <w:gridCol w:w="146"/>
        <w:gridCol w:w="146"/>
        <w:gridCol w:w="421"/>
        <w:gridCol w:w="37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Adjusted EBITDA decrease is primarily attributable to increased general and administrative expenses.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Net Income/(Loss) to Adjusted EBITDA Reconciliation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26"/>
        <w:gridCol w:w="146"/>
        <w:gridCol w:w="265"/>
        <w:gridCol w:w="794"/>
        <w:gridCol w:w="208"/>
        <w:gridCol w:w="183"/>
        <w:gridCol w:w="265"/>
        <w:gridCol w:w="794"/>
        <w:gridCol w:w="166"/>
        <w:gridCol w:w="146"/>
        <w:gridCol w:w="211"/>
        <w:gridCol w:w="631"/>
        <w:gridCol w:w="166"/>
        <w:gridCol w:w="146"/>
        <w:gridCol w:w="146"/>
        <w:gridCol w:w="631"/>
        <w:gridCol w:w="381"/>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Private Placement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financial instruments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Yorkville SEPA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Transaction related expenses include</w:t>
      </w:r>
    </w:p>
    <w:p>
      <w:pPr>
        <w:pStyle w:val="TextBody"/>
        <w:bidi w:val="0"/>
        <w:jc w:val="both"/>
        <w:rPr/>
      </w:pPr>
      <w:r>
        <w:rPr/>
        <w:t> </w:t>
      </w:r>
    </w:p>
    <w:tbl>
      <w:tblPr>
        <w:tblW w:w="7469" w:type="dxa"/>
        <w:jc w:val="left"/>
        <w:tblInd w:w="0" w:type="dxa"/>
        <w:tblLayout w:type="fixed"/>
        <w:tblCellMar>
          <w:top w:w="28" w:type="dxa"/>
          <w:left w:w="28" w:type="dxa"/>
          <w:bottom w:w="28" w:type="dxa"/>
          <w:right w:w="28" w:type="dxa"/>
        </w:tblCellMar>
      </w:tblPr>
      <w:tblGrid>
        <w:gridCol w:w="2461"/>
        <w:gridCol w:w="146"/>
        <w:gridCol w:w="286"/>
        <w:gridCol w:w="775"/>
        <w:gridCol w:w="198"/>
        <w:gridCol w:w="198"/>
        <w:gridCol w:w="286"/>
        <w:gridCol w:w="775"/>
        <w:gridCol w:w="146"/>
        <w:gridCol w:w="146"/>
        <w:gridCol w:w="211"/>
        <w:gridCol w:w="481"/>
        <w:gridCol w:w="166"/>
        <w:gridCol w:w="146"/>
        <w:gridCol w:w="146"/>
        <w:gridCol w:w="526"/>
        <w:gridCol w:w="37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audit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Incremental accounting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study, M&amp;A support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we had cash of approximately $0.1 million. For the three months ended March 31, 2026, while we generated revenue of approximately $2.7 million, we used approximately $5.5 million in cash from operating activities and had a net loss of approximately $8.4 million. We have incurred recurring net losses from operations and negative cash flows from operating activities since inception. As of March 31, 2026, we had a working capital deficit of approximately $20.6 million and an accumulated deficit of approximately $109.2 million. These factors raise substantial doubt regarding the Company’s ability to continue as a going concern within one year of the date these financial statements were issued.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Banzai will continue as a going concern, which contemplates the realization of assets and satisfaction of liabilities in the normal course of business.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hAnsi="Times New Roman"/>
          <w:i/>
          <w:color w:val="000000"/>
          <w:sz w:val="20"/>
        </w:rPr>
        <w:t xml:space="preserve">Note 2 – Going Concern </w:t>
      </w:r>
      <w:r>
        <w:rPr>
          <w:rFonts w:ascii="Times New Roman" w:hAnsi="Times New Roman"/>
          <w:color w:val="000000"/>
          <w:sz w:val="20"/>
        </w:rPr>
        <w:t>to our condensed consolidated financial statements in this Report.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structure and sources of liquidity</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 w:hAnsi="Times New Roman"/>
          <w:i/>
          <w:color w:val="000000"/>
          <w:sz w:val="20"/>
        </w:rPr>
        <w:t>Note 11 – Debt</w:t>
      </w:r>
      <w:r>
        <w:rPr>
          <w:rFonts w:ascii="Times New Roman" w:hAnsi="Times New Roman"/>
          <w:color w:val="000000"/>
          <w:sz w:val="20"/>
        </w:rPr>
        <w:t xml:space="preserve"> and </w:t>
      </w:r>
      <w:r>
        <w:rPr>
          <w:rFonts w:ascii="Times New Roman" w:hAnsi="Times New Roman"/>
          <w:i/>
          <w:color w:val="000000"/>
          <w:sz w:val="20"/>
        </w:rPr>
        <w:t>Note 14 – Equity</w:t>
      </w:r>
      <w:r>
        <w:rPr>
          <w:rFonts w:ascii="Times New Roman" w:hAnsi="Times New Roman"/>
          <w:color w:val="000000"/>
          <w:sz w:val="20"/>
        </w:rPr>
        <w:t xml:space="preserve"> to our condensed consolidated financial statements in this Report for further discussion of these arrangements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hAnsi="Times New Roman"/>
          <w:i/>
          <w:color w:val="000000"/>
          <w:sz w:val="20"/>
        </w:rPr>
        <w:t>Risk Factors</w:t>
      </w:r>
      <w:r>
        <w:rPr>
          <w:rFonts w:ascii="Times New Roman" w:hAnsi="Times New Roman"/>
          <w:color w:val="000000"/>
          <w:sz w:val="20"/>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may seek to raise additional capital through a combination of debt and equity financings, including continued use of our at-the-market facility and our SEPA, to support our operations and expansion through acquisition.</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certain information related to our cash flows for the three months ended March 31, 2026 and 2025. See also our unaudited condensed consolidated statements of cash flows in this Report:</w:t>
      </w:r>
    </w:p>
    <w:p>
      <w:pPr>
        <w:pStyle w:val="TextBody"/>
        <w:bidi w:val="0"/>
        <w:jc w:val="both"/>
        <w:rPr/>
      </w:pPr>
      <w:r>
        <w:rPr/>
        <w:t> </w:t>
      </w:r>
    </w:p>
    <w:tbl>
      <w:tblPr>
        <w:tblW w:w="8748" w:type="dxa"/>
        <w:jc w:val="left"/>
        <w:tblInd w:w="0" w:type="dxa"/>
        <w:tblLayout w:type="fixed"/>
        <w:tblCellMar>
          <w:top w:w="28" w:type="dxa"/>
          <w:left w:w="28" w:type="dxa"/>
          <w:bottom w:w="28" w:type="dxa"/>
          <w:right w:w="28" w:type="dxa"/>
        </w:tblCellMar>
      </w:tblPr>
      <w:tblGrid>
        <w:gridCol w:w="3466"/>
        <w:gridCol w:w="146"/>
        <w:gridCol w:w="266"/>
        <w:gridCol w:w="796"/>
        <w:gridCol w:w="209"/>
        <w:gridCol w:w="184"/>
        <w:gridCol w:w="266"/>
        <w:gridCol w:w="796"/>
        <w:gridCol w:w="166"/>
        <w:gridCol w:w="146"/>
        <w:gridCol w:w="211"/>
        <w:gridCol w:w="631"/>
        <w:gridCol w:w="166"/>
        <w:gridCol w:w="146"/>
        <w:gridCol w:w="146"/>
        <w:gridCol w:w="631"/>
        <w:gridCol w:w="37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Period-over-Period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three months ended March 31,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cash used in operating activities was primarily driven by the net loss, and by working capital adjustments totaling $0.8 million (unfavorable), partially offset by adjustments for non-cash items totaling $3.7 million (favorable). The non-cash items primarily consisted of addbacks for stock-based compensation expense of approximately $1.3 million and depreciation and amortization of approximately $0.3 million, the net impact of debt-related transactions (loss on issuance of debt and non-cash interest expense) totaling $1.8 million favorable, and the net impact of change in fair value adjustments (including debt under the fair value option, warrants and derivatives) totaling $0.3 million favorable.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primarily driven by proceeds from issuance of shares under the SEPA totaling approximately $0.7 million, proceeds from issuances of debt (both convertible and term) totaling approximately $2.6 million, proceeds from issuances of shares and warrants totaling $2.7 million, partially offset by repayments of debt totaling $0.7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 for the three months ended March 31, 2025</w:t>
      </w:r>
    </w:p>
    <w:p>
      <w:pPr>
        <w:pStyle w:val="TextBody"/>
        <w:bidi w:val="0"/>
        <w:jc w:val="both"/>
        <w:rPr>
          <w:rFonts w:ascii="Times New Roman" w:hAnsi="Times New Roman"/>
          <w:color w:val="000000"/>
          <w:sz w:val="20"/>
        </w:rPr>
      </w:pPr>
      <w:r>
        <w:rPr>
          <w:rFonts w:ascii="Times New Roman" w:hAnsi="Times New Roman"/>
          <w:color w:val="000000"/>
          <w:sz w:val="20"/>
        </w:rPr>
        <w:t>Net cash used in operating activities was approximately $5.0 million for the three months ended March 31, 2025. Net cash used in operating activities consists of net loss of approximately $3.6 million, offset by total adjustments of approximately $1.3 million for non-cash items and the effect of changes in working capital. Non-cash adjustments primarily included loss on extinguishment of term notes of approximately $1.8 million, stock compensation expense of approximately $0.3 million, gain on extinguishment of liability of approximately $4.3 million, loss on issuance of debt of approximately $0.3 million, loss on extinguishment of term notes of approximately $1.8 million, non-cash interest expense of approximately $0.4 million, fair value adjustment of convertible promissory notes of approximately $0.2 million, fair value adjustment of term notes of approximately $0.2 million, consulting expenses paid via share issuance of approximately $0.2 million, depreciation and amortization of intangible assets of approximately $0.7 million and net of change in operating assets and liabilities of approximately $0.9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investing activities was approximately $2.7 million for the three months ended March 31, 2025 and was related to the net cash paid in the acquisition of Vidello.</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cash provided by financing activities was approximately $7.3 million for the three months ended March 31, 2025, and was primarily related to proceeds from convertible debt financing of approximately $3.2 million, net proceeds from the issuance of term notes of approximately $4.0 million, proceeds from issuance of shares under the SEPA agreement of approximately $6.7 million, repayment of term notes of approximately $3.7 million, partial repayment of convertible notes with a related party of approximately $0.9 million, repayment of Yorkville convertible notes of approximately $1.9 million, and payment of the GEM commitment fee promissory note of approximately $0.2 million.</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Debt Structure, Debt Maturity Profile, Contractual Obligations and Commitments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610"/>
        <w:gridCol w:w="146"/>
        <w:gridCol w:w="211"/>
        <w:gridCol w:w="571"/>
        <w:gridCol w:w="146"/>
        <w:gridCol w:w="146"/>
        <w:gridCol w:w="271"/>
        <w:gridCol w:w="735"/>
        <w:gridCol w:w="146"/>
        <w:gridCol w:w="146"/>
        <w:gridCol w:w="432"/>
        <w:gridCol w:w="1170"/>
        <w:gridCol w:w="146"/>
        <w:gridCol w:w="146"/>
        <w:gridCol w:w="269"/>
        <w:gridCol w:w="730"/>
        <w:gridCol w:w="146"/>
        <w:gridCol w:w="146"/>
        <w:gridCol w:w="263"/>
        <w:gridCol w:w="432"/>
        <w:gridCol w:w="197"/>
      </w:tblGrid>
      <w:tr>
        <w:trPr/>
        <w:tc>
          <w:tcPr>
            <w:tcW w:w="3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u w:val="single"/>
              </w:rPr>
            </w:pPr>
            <w:r>
              <w:rPr>
                <w:rFonts w:ascii="Times New Roman" w:hAnsi="Times New Roman"/>
                <w:i/>
                <w:color w:val="000000"/>
                <w:sz w:val="20"/>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Total Principal and Accrued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Less than 1 year</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6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1 - 3 Years</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15.5% CP BF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Agile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Private Placement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Yorkville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1800 Diagonal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principal – Boot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 commitments and financing requirements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Deferred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recognized revenue.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Lease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an operating lease for office space. The lease term expires in October 2027. The lease liability balance as of March 31, 2026 represents the future minimum lease payments under non-cancellable leases as liabilities.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Banzai had no off-balance sheet arrangements as of March 31, 2026.</w:t>
      </w:r>
    </w:p>
    <w:p>
      <w:pPr>
        <w:pStyle w:val="TextBody"/>
        <w:bidi w:val="0"/>
        <w:jc w:val="both"/>
        <w:rPr/>
      </w:pPr>
      <w:r>
        <w:rPr/>
        <w:t> </w:t>
      </w:r>
    </w:p>
    <w:p>
      <w:pPr>
        <w:pStyle w:val="TextBody"/>
        <w:bidi w:val="0"/>
        <w:jc w:val="left"/>
        <w:rPr>
          <w:rFonts w:ascii="Times New Roman" w:hAnsi="Times New Roman"/>
          <w:b/>
          <w:color w:val="000000"/>
          <w:sz w:val="20"/>
        </w:rPr>
      </w:pPr>
      <w:bookmarkStart w:id="9" w:name="item3_marketrisk"/>
      <w:bookmarkEnd w:id="9"/>
      <w:r>
        <w:rPr>
          <w:rFonts w:ascii="Times New Roman" w:hAnsi="Times New Roman"/>
          <w:b/>
          <w:color w:val="000000"/>
          <w:sz w:val="20"/>
        </w:rPr>
        <w:t>Item 3. Quantitative and Qualitative Disclosures About Market Risk.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item is not applicable as we are a smaller reporting company. </w:t>
      </w:r>
    </w:p>
    <w:p>
      <w:pPr>
        <w:pStyle w:val="TextBody"/>
        <w:bidi w:val="0"/>
        <w:jc w:val="both"/>
        <w:rPr/>
      </w:pPr>
      <w:r>
        <w:rPr/>
        <w:t> </w:t>
      </w:r>
    </w:p>
    <w:p>
      <w:pPr>
        <w:pStyle w:val="TextBody"/>
        <w:bidi w:val="0"/>
        <w:jc w:val="left"/>
        <w:rPr>
          <w:rFonts w:ascii="Times New Roman" w:hAnsi="Times New Roman"/>
          <w:b/>
          <w:color w:val="000000"/>
          <w:sz w:val="20"/>
        </w:rPr>
      </w:pPr>
      <w:bookmarkStart w:id="10" w:name="item4_controls"/>
      <w:bookmarkEnd w:id="10"/>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March 31, 2026, under the supervision and with the participation of our management, including our Chief Executive Officer and Chief Financial Officer, we carried out an evaluation of the effectiveness of the design and operation of our disclosure controls and procedures (as defined in Rules 13a</w:t>
        <w:noBreakHyphen/>
        <w:t>15(e) and 15d</w:t>
        <w:noBreakHyphen/>
        <w:t>15(e) under the Securities Exchange Act of 1934, as amended) as of the end of the period covered by this Quarterly Report on Form 10</w:t>
        <w:noBreakHyphen/>
        <w:t>Q. Based upon that evaluation, our Chief Executive Officer and Chief Financial Officer concluded that our disclosure controls and procedures were not effective as of March 31, 2026, due to the previously disclosed material weaknesses in our internal control over financial reporting related to IT general controls, entity</w:t>
        <w:noBreakHyphen/>
        <w:t>level controls in accordance with the COSO Integrated Framework, and the period</w:t>
        <w:noBreakHyphen/>
        <w:t xml:space="preserve">end financial close and reporting process, as described in our Annual Report on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Form 10</w:t>
        <w:noBreakHyphen/>
        <w:t>K for the year ended December 31, 2025 filed with the SEC on March 31, 2026 (the “2025 Form 10</w:t>
        <w:noBreakHyphen/>
        <w:t xml:space="preserve">K”).We remain committed to remediating the material weaknesses and improving our internal control over financial reporting.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quarter ended March 31, 2026, we implemented a new enterprise resource planning (“ERP”) system. We believe the ERP implementation, along with related process enhancements and controls implemented in connection with the new system, is an important step in our remediation efforts and in strengthening our overall control environment. However, our remediation efforts are ongoing, and the material weaknesses will not be considered remediated until the applicable controls have operated for a sufficient period of time and management has concluded, through testing, that such controls are designed and operating effectively. As we continue our evaluation and improve our internal control over financial reporting, management may identify and take additional measures to address control deficiencies. We cannot provide assurance that we will be successful in remediating the material weaknesses in a timely manner.</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required by Rule 13a</w:t>
        <w:noBreakHyphen/>
        <w:t>15(d) of the Exchange Act, our management, including our Chief Executive Officer and our Chief Financial Officer, evaluated whether any change in our internal control over financial reporting (as defined in Rules 13a</w:t>
        <w:noBreakHyphen/>
        <w:t>15(f) and 15d</w:t>
        <w:noBreakHyphen/>
        <w:t>15(f) under the Exchange Act) occurred during the quarter ended March 31, 2026 that has materially affected, or is reasonably likely to materially affect, our internal control over financial reporting. During the quarter ended March 31, 2026, we implemented a new ERP system, which resulted in changes to our information technology environment, business processes, and certain controls within our financial reporting processes. We have designed and implemented controls related to the new ERP system, including controls related to user access and segregation of duties, change management, and controls supporting transaction processing and period</w:t>
        <w:noBreakHyphen/>
        <w:t>end financial reporting. We believe these changes are expected to enhance our internal control environment and support our ongoing remediation efforts. Other than the foregoing, and our ongoing remediation activities related to the previously disclosed material weaknesses, there were no other changes in our internal control over financial reporting during the quarter ended March 31, 2026 that have materially affected, or are reasonably likely to materially affect, our internal control over financial reporting.</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0"/>
        </w:rPr>
      </w:pPr>
      <w:bookmarkStart w:id="11" w:name="partii_otherinformation"/>
      <w:bookmarkEnd w:id="11"/>
      <w:r>
        <w:rPr>
          <w:rFonts w:ascii="Times New Roman" w:hAnsi="Times New Roman"/>
          <w:b/>
          <w:color w:val="000000"/>
          <w:sz w:val="20"/>
        </w:rPr>
        <w:t>PART II—OTHER INFORMATION</w:t>
      </w:r>
    </w:p>
    <w:p>
      <w:pPr>
        <w:pStyle w:val="TextBody"/>
        <w:bidi w:val="0"/>
        <w:jc w:val="left"/>
        <w:rPr>
          <w:rFonts w:ascii="Times New Roman" w:hAnsi="Times New Roman"/>
          <w:b/>
          <w:color w:val="000000"/>
          <w:sz w:val="20"/>
        </w:rPr>
      </w:pPr>
      <w:bookmarkStart w:id="12" w:name="part2_item1_legalproceedings"/>
      <w:bookmarkEnd w:id="12"/>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To the best of our knowledge, we are not presently party to any legal proceedings that, in the opinion of management, if determined adversely to us, would individually or taken together have a material adverse effect on our business, operating results, financial condition or cash flows.</w:t>
      </w:r>
    </w:p>
    <w:p>
      <w:pPr>
        <w:pStyle w:val="TextBody"/>
        <w:bidi w:val="0"/>
        <w:jc w:val="both"/>
        <w:rPr/>
      </w:pPr>
      <w:r>
        <w:rPr/>
        <w:t> </w:t>
      </w:r>
    </w:p>
    <w:p>
      <w:pPr>
        <w:pStyle w:val="TextBody"/>
        <w:bidi w:val="0"/>
        <w:jc w:val="left"/>
        <w:rPr>
          <w:rFonts w:ascii="Times New Roman" w:hAnsi="Times New Roman"/>
          <w:b/>
          <w:color w:val="000000"/>
          <w:sz w:val="20"/>
        </w:rPr>
      </w:pPr>
      <w:bookmarkStart w:id="13" w:name="part2_item1a_riskfactors"/>
      <w:bookmarkEnd w:id="13"/>
      <w:r>
        <w:rPr>
          <w:rFonts w:ascii="Times New Roman" w:hAnsi="Times New Roman"/>
          <w:b/>
          <w:color w:val="000000"/>
          <w:sz w:val="20"/>
        </w:rPr>
        <w:t>Item 1A. Risk Factors.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 smaller reporting company as defined by Rule 12b-2 of the Securities Exchange Act of 1934 and, as such, are not required to provide the information under this item. A description of risk factors can be found in our Annual Report on Form 10-K for the year ended December 31, 2025 as supplemented and updated by subsequent current reports on Form 8-K that we have filed or will file with the SEC. </w:t>
      </w:r>
    </w:p>
    <w:p>
      <w:pPr>
        <w:pStyle w:val="TextBody"/>
        <w:bidi w:val="0"/>
        <w:jc w:val="both"/>
        <w:rPr/>
      </w:pPr>
      <w:r>
        <w:rPr/>
        <w:t> </w:t>
      </w:r>
    </w:p>
    <w:p>
      <w:pPr>
        <w:pStyle w:val="TextBody"/>
        <w:bidi w:val="0"/>
        <w:jc w:val="left"/>
        <w:rPr>
          <w:rFonts w:ascii="Times New Roman" w:hAnsi="Times New Roman"/>
          <w:b/>
          <w:color w:val="000000"/>
          <w:sz w:val="20"/>
        </w:rPr>
      </w:pPr>
      <w:bookmarkStart w:id="14" w:name="part2_item2_unregisteredsales"/>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period covered by this Report,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though their relationships with the Registrant, to information about the Registrant.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1800 Diagonal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26, 2026 and January 27, 2026, the Company issued an aggregate of 20,046 shares of Class A Common Stock pursuant to conversion notices received from 1800 Diagonal to convert an aggregate of $331 thousand in notes the Company previously issued to them; the conversion prices ranged from $21.40 to $24.40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19, 2026, the Company issued 3,766 shares of Class A Common Stock pursuant to conversion notices received from 1800 Diagonal to convert $54 thousand in notes the Company previously issued to them; the conversion price was $14.75 per share.</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Shares of Class A Common Stock issued to Agile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Between January 27, 2026 and March 27, 2026, the Company entered into multiple exchange agreements with Agile on substantially similar terms as the Agile Exchange Agreement pursuant to which the Company issued an aggregate of 29,306 shares of its Class A common stock at conversion prices per share ranging from $21.40 to $23.04 in exchange for a reduction of $660 thousand in the outstanding balance of the March Agile Note. Following these exchanges, the outstanding balance of the March Agile Note was reduced to approximately $1.2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March 31, 2026, on April 15, 2026, April 29, 2026, and May 8, 2026 the Company entered into exchange agreements with Agile on substantially similar terms as the Agile Exchange Agreement pursuant to which the Company issued an aggregate of approximately 74,948 shares of its Class A Common Stock at conversion prices per share of $5.82 and $12.40, respectively, in exchange for aggregate reductions of approximately $540 in the outstanding balance of the March Agile Note. Following these exchanges, the outstanding balance of the March Agile Note was reduced to approximately $639.</w:t>
      </w:r>
    </w:p>
    <w:p>
      <w:pPr>
        <w:pStyle w:val="TextBody"/>
        <w:bidi w:val="0"/>
        <w:jc w:val="left"/>
        <w:rPr/>
      </w:pPr>
      <w:r>
        <w:rPr/>
        <w:t> </w:t>
      </w:r>
    </w:p>
    <w:p>
      <w:pPr>
        <w:pStyle w:val="TextBody"/>
        <w:bidi w:val="0"/>
        <w:jc w:val="left"/>
        <w:rPr>
          <w:rFonts w:ascii="Times New Roman" w:hAnsi="Times New Roman"/>
          <w:b/>
          <w:color w:val="000000"/>
          <w:sz w:val="20"/>
        </w:rPr>
      </w:pPr>
      <w:bookmarkStart w:id="15" w:name="part2_item3_defaults"/>
      <w:bookmarkEnd w:id="15"/>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6" w:name="part2_item4_minesafety"/>
      <w:bookmarkEnd w:id="16"/>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7" w:name="part2_item5_otherinfo"/>
      <w:bookmarkEnd w:id="17"/>
      <w:r>
        <w:rPr>
          <w:rFonts w:ascii="Times New Roman" w:hAnsi="Times New Roman"/>
          <w:b/>
          <w:color w:val="000000"/>
          <w:sz w:val="20"/>
        </w:rPr>
        <w:t>Item 5. Other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March 31, 2026, no director or officer of the Company adopted or terminated a “Rule 10b5-1 trading arrangement” or “non-Rule 10b5-1 trading arrangement,” as these terms are defined in Item 408(a) of Regulation S-K.</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part2_item6_exhibits"/>
      <w:bookmarkStart w:id="19" w:name="exhibits"/>
      <w:bookmarkEnd w:id="18"/>
      <w:bookmarkEnd w:id="19"/>
      <w:r>
        <w:rPr>
          <w:rFonts w:ascii="Times New Roman" w:hAnsi="Times New Roman"/>
          <w:b/>
          <w:color w:val="000000"/>
          <w:sz w:val="20"/>
        </w:rPr>
        <w:t>Item 6. Exhibits.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documents are included as exhibits to this 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At the Market Offering Agreement, dated August 27, 2025 by and between Banzai and H.C. Wainwright &amp; Co., LLC (incorporated by reference to the Current Report on Form 8-K filed on August 28,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"rom441541_40"</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dated December 8, 2022, by and among Banzai, 7GC, First Merger Sub and Second Merger Sub (incorporated by reference to Annex A-1 to the Registration Statement on Form S-4 filed on August 31, 2023).</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"https://www.sec.gov/Archives/edgar/data/1826011/000119312523225201/d441541ds4.htm" \l "rom441541_40"</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"https://www.sec.gov/Archives/edgar/data/1826011/000119312523225201/d441541ds4.htm" \l "rom441541_41"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Amendment to Agreement and Plan of Merger, dated August 4, 2023, by and among the Company and 7GC (incorporated by reference to Annex A-2 to the Registration Statement on Form S-4 filed on August 31, 2023).</w:t>
            </w:r>
            <w:r>
              <w:rPr>
                <w:rStyle w:val="InternetLink"/>
                <w:sz w:val="20"/>
                <w:u w:val="single"/>
                <w:rFonts w:ascii="Times New Roman" w:hAnsi="Times New Roman"/>
                <w:color w:val="0000FF"/>
              </w:rPr>
              <w:fldChar w:fldCharType="end"/>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December 10, 2024, by and among Banzai International, Inc., Banzai Reel Acquisition, Inc. ClearDoc, Inc., and certain stockholders of ClearDoc, Inc. (incorporated by reference to Exhibit 2.1 to the Current Report on Form 8-K filed on December 19,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Acquisition Agreement, dated December 19, 2024, by and among Banzai International, Inc., Vidello Limited, and the Shareholders of Vidello Limited (incorporated by reference to Exhibit 2.1 to the Current Report on Form 8-K filed on December 20,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and Plan of Merger, dated January 22, 2025 by and between Banzai International, Inc. and Act-On Software, Inc. (incorporated by reference to the Current Report on Form 8-K filed on January 23, 2025)</w:t>
              </w:r>
            </w:hyperlink>
          </w:p>
        </w:tc>
      </w:tr>
      <w:tr>
        <w:trPr/>
        <w:tc>
          <w:tcPr>
            <w:tcW w:w="8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Amended and Restated Certificate of Incorporation of the Company, dated December 14, 2023. (incorporated by reference to the Exhibit 3.1 to the Current Report on Form 8-K filed on December 20, 2023).</w:t>
              </w:r>
            </w:hyperlink>
            <w:hyperlink r:id="rId7">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Second Amended and Restated Bylaws of the Company, dated December 14, 2023 (incorporated by reference to the Exhibit 3.2 to the Current Report on Form 8-K filed on December 20, 2023).</w:t>
              </w:r>
            </w:hyperlink>
            <w:hyperlink r:id="rId9">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Third Amended and Restated Bylaws of the Company, dated March 3, 2025 (incorporated by reference to the Exhibit 3.2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Amendment to Second Amended and Restated Certificate of Incorporation of the Company, dated September 11, 2024. (incorporated by reference to the Exhibit 3.1 to the Current Report on Form 8-K filed on September 16, 2024).</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to Second Amended and Restated Certificate of Incorporation of the Company, dated March 3, 2025. (incorporated by reference to the Exhibit 3.1 to the Current Report on Form 8-K filed on March 4,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(2025 Stock Split) to Certificate of Incorporation of the Company, dated June 24, 2025. (incorporated by reference to the Exhibit 3.1 to the Current Report on Form 8-K filed on June 27,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Amendment to Second Amended and Restated Certificate of Incorporation of the Company (incorporated by reference to Exhibit 3.1 to the Current Report on Form 8-K filed on April 28,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Specimen Class A Common Stock Certificate of the Company (incorporated by reference to the Exhibit 4.1 to the Current Report on Form 8-K filed on December 20, 2023).</w:t>
              </w:r>
            </w:hyperlink>
            <w:hyperlink r:id="rId16">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Specimen Class B Common Stock Certificate of the Company (incorporated by reference to the Exhibit 4.2 to the Current Report on Form 8-K filed on December 20, 2023).</w:t>
              </w:r>
            </w:hyperlink>
            <w:hyperlink r:id="rId1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Specimen Warrant Certificate of the Company (incorporated by reference to the Exhibit 4.3 to the Current Report on Form 8-K filed on December 20, 2023).</w:t>
              </w:r>
            </w:hyperlink>
            <w:hyperlink r:id="rId20">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Warrant Agreement, dated December 22, 2020, by and between 7GC and Continental Stock Transfer &amp; Trust Company, as warrant agent (incorporated by reference to Exhibit 4.1 to the Current Report on Form 8-K filed by 7GC on December 28, 2020).</w:t>
              </w:r>
            </w:hyperlink>
            <w:hyperlink r:id="rId22">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Convertible Promissory Note, by and among Banzai and CP BF Lending, LLC (incorporated by reference to Exhibit 4.7 to the Registration Statement on Form S-4 filed by 7GC on August 30, 2023).</w:t>
              </w:r>
            </w:hyperlink>
            <w:hyperlink r:id="rId24">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Subordinated Promissory Note, dated December 13, 2023, issued by the Company to Alco Investment Company (incorporated by reference to the Exhibit 4.5 to the Current Report on Form 8-K filed on December 20, 2023).</w:t>
              </w:r>
            </w:hyperlink>
            <w:hyperlink r:id="rId26">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Warrant to Purchase Shares of Common Stock of Banzai International, Inc., dated December 15, 2023, issued by the Company to GEM Yield Bahamas Limited (incorporated by reference to the Exhibit 4.7 to the Current Report on Form 8-K filed on December 20, 2023).</w:t>
              </w:r>
            </w:hyperlink>
            <w:hyperlink r:id="rId28">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Promissory Note, dated as of December 14, 2023, issued by Banzai International, Inc. to YA II PN, LTD (incorporated by reference to Exhibit 10.2 to the Current Report on Form 8-K filed on December 18, 2023).</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Promissory Note, dated as of February 5, 2024, issued by Banzai International, Inc. to YA II PN, LTD (incorporated by reference to the Exhibit 4.11 to the Registration Statement on Form S-1 filed on February 5, 2024).</w:t>
              </w:r>
            </w:hyperlink>
            <w:hyperlink r:id="rId31">
              <w:r>
                <w:rPr>
                  <w:rStyle w:val="InternetLink"/>
                  <w:rFonts w:ascii="Times New Roman" w:hAnsi="Times New Roman"/>
                  <w:color w:val="0000FF"/>
                  <w:sz w:val="20"/>
                </w:rPr>
                <w:t xml:space="preserve"> </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Promissory Note Agreement, dated as of March 26, 2024, issued by Banzai International, Inc. to YA II PN, LTD (incorporated by reference to Exhibit 4.10 to the Annual Report on Form 10-K filed on April 15, 2025).</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Certificate of Designation of Series FE Preferred Stock (incorporated by reference to the 8-K filed on December 19, 2024).</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8"/>
        <w:gridCol w:w="146"/>
        <w:gridCol w:w="9141"/>
      </w:tblGrid>
      <w:tr>
        <w:trPr/>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1" w:type="dxa"/>
            <w:tcBorders/>
            <w:vAlign w:val="center"/>
          </w:tcPr>
          <w:p>
            <w:pPr>
              <w:pStyle w:val="TableContents"/>
              <w:bidi w:val="0"/>
              <w:spacing w:before="0" w:after="283"/>
              <w:jc w:val="left"/>
              <w:rPr>
                <w:sz w:val="4"/>
                <w:szCs w:val="4"/>
              </w:rPr>
            </w:pPr>
            <w:r>
              <w:rPr>
                <w:sz w:val="4"/>
                <w:szCs w:val="4"/>
              </w:rPr>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Senior Secured Convertible Note (incorporated by reference to the Current Report on Form 8-K filed on July 3,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Warrant (incorporated by reference to the Current Report on Form 8-K filed on July 3,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Additional Note (incorporated by reference to Exhibit 4.3 to the Current Report on Form 8-K filed on August 22,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Additional Warrant (incorporated by reference to Exhibit 4.4 to the Current Report on Form 8-k filed on August 22, 2025).</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Senior Secured Convertible Note (incorporated by reference to Exhibit 4.3 to the Current Report on Form 8-K filed on February 13, 2026).</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Warrant To Purchase Common Stock (incorporated by reference to Exhibit 4.4 to the Current Report on Form 8-K filed on February 13, 2026).</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Exchange Agreement (incorporated by reference to Exhibit 10.3 to the Current Report on Form 8-K filed on May 5, 2026).</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nz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
        <w:gridCol w:w="9802"/>
      </w:tblGrid>
      <w:tr>
        <w:trPr/>
        <w:tc>
          <w:tcPr>
            <w:tcW w:w="403" w:type="dxa"/>
            <w:tcBorders/>
            <w:vAlign w:val="center"/>
          </w:tcPr>
          <w:p>
            <w:pPr>
              <w:pStyle w:val="TableContents"/>
              <w:bidi w:val="0"/>
              <w:spacing w:before="0" w:after="283"/>
              <w:jc w:val="left"/>
              <w:rPr>
                <w:sz w:val="4"/>
                <w:szCs w:val="4"/>
              </w:rPr>
            </w:pPr>
            <w:r>
              <w:rPr>
                <w:sz w:val="4"/>
                <w:szCs w:val="4"/>
              </w:rPr>
            </w:r>
          </w:p>
        </w:tc>
        <w:tc>
          <w:tcPr>
            <w:tcW w:w="9802" w:type="dxa"/>
            <w:tcBorders/>
            <w:vAlign w:val="center"/>
          </w:tcPr>
          <w:p>
            <w:pPr>
              <w:pStyle w:val="TableContents"/>
              <w:bidi w:val="0"/>
              <w:spacing w:before="0" w:after="283"/>
              <w:jc w:val="left"/>
              <w:rPr>
                <w:sz w:val="4"/>
                <w:szCs w:val="4"/>
              </w:rPr>
            </w:pPr>
            <w:r>
              <w:rPr>
                <w:sz w:val="4"/>
                <w:szCs w:val="4"/>
              </w:rPr>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 or arrangement.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schedules and exhibits to this agreement have been omitted pursuant to Item 601(b)(2) of Regulation S-K. A copy of any omitted schedule and/or exhibit will be furnished to the SEC upon request.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XBRL Instance Document and Cover Page Interactive Data File do not appear in the Interactive Data File because their XBRL tags are embedded within the Inline XBRL document.</w:t>
            </w:r>
          </w:p>
        </w:tc>
      </w:tr>
      <w:tr>
        <w:trPr/>
        <w:tc>
          <w:tcPr>
            <w:tcW w:w="4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Submitted electronically herewith.</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Securities Exchange Act of 1934, the registrant has duly caused this report to be signed on its behalf by the undersigned, thereunto duly authorized, on May 15, 2026.</w:t>
      </w:r>
    </w:p>
    <w:p>
      <w:pPr>
        <w:pStyle w:val="TextBody"/>
        <w:bidi w:val="0"/>
        <w:jc w:val="left"/>
        <w:rPr/>
      </w:pPr>
      <w:r>
        <w:rPr/>
        <w:t> </w:t>
      </w:r>
    </w:p>
    <w:tbl>
      <w:tblPr>
        <w:tblW w:w="4812" w:type="dxa"/>
        <w:jc w:val="left"/>
        <w:tblInd w:w="0" w:type="dxa"/>
        <w:tblLayout w:type="fixed"/>
        <w:tblCellMar>
          <w:top w:w="28" w:type="dxa"/>
          <w:left w:w="28" w:type="dxa"/>
          <w:bottom w:w="28" w:type="dxa"/>
          <w:right w:w="28" w:type="dxa"/>
        </w:tblCellMar>
      </w:tblPr>
      <w:tblGrid>
        <w:gridCol w:w="1741"/>
        <w:gridCol w:w="146"/>
        <w:gridCol w:w="468"/>
        <w:gridCol w:w="2457"/>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BANZAI INTERNATIONAL,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bookmarkStart w:id="21" w:name="bnzi-ex31_1.htm"/>
      <w:bookmarkStart w:id="22" w:name="ksbnzi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Joseph Davy,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fiscal quarter ended March 31, 2026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/s/ 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bnzi-ex31_2.htm"/>
      <w:bookmarkStart w:id="24" w:name="ksbnzi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Dean Ditto,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for the fiscal quarter ended March 31, 2026 of Banzai International,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7709" w:type="dxa"/>
        <w:jc w:val="left"/>
        <w:tblInd w:w="0" w:type="dxa"/>
        <w:tblLayout w:type="fixed"/>
        <w:tblCellMar>
          <w:top w:w="28" w:type="dxa"/>
          <w:left w:w="28" w:type="dxa"/>
          <w:bottom w:w="28" w:type="dxa"/>
          <w:right w:w="28" w:type="dxa"/>
        </w:tblCellMar>
      </w:tblPr>
      <w:tblGrid>
        <w:gridCol w:w="1741"/>
        <w:gridCol w:w="146"/>
        <w:gridCol w:w="40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nzi-ex32_1.htm"/>
      <w:bookmarkStart w:id="26" w:name="ksbnzi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fiscal quarter ended March 31, 2026 as filed with the Securities and Exchange Commission on or about the date hereof (the “Report”), I, Joseph Davy, Chief Executive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852" w:type="dxa"/>
        <w:jc w:val="left"/>
        <w:tblInd w:w="0" w:type="dxa"/>
        <w:tblLayout w:type="fixed"/>
        <w:tblCellMar>
          <w:top w:w="28" w:type="dxa"/>
          <w:left w:w="28" w:type="dxa"/>
          <w:bottom w:w="28" w:type="dxa"/>
          <w:right w:w="28" w:type="dxa"/>
        </w:tblCellMar>
      </w:tblPr>
      <w:tblGrid>
        <w:gridCol w:w="1741"/>
        <w:gridCol w:w="109"/>
        <w:gridCol w:w="406"/>
        <w:gridCol w:w="259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Joseph Davy</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bnzi-ex32_2.htm"/>
      <w:bookmarkStart w:id="28" w:name="ksbnzi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of Banzai International, Inc. (the "Company") for the fiscal quarter ended March 31, 2026, as filed with the Securities and Exchange Commission on or about the date hereof (the “Report”), I, Dean Ditto, Chief Financial Officer of the Company, certify, pursuant to 18 U.S.C. Section 1350, as adopted pursuant to Section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709" w:type="dxa"/>
        <w:jc w:val="left"/>
        <w:tblInd w:w="0" w:type="dxa"/>
        <w:tblLayout w:type="fixed"/>
        <w:tblCellMar>
          <w:top w:w="28" w:type="dxa"/>
          <w:left w:w="28" w:type="dxa"/>
          <w:bottom w:w="28" w:type="dxa"/>
          <w:right w:w="28" w:type="dxa"/>
        </w:tblCellMar>
      </w:tblPr>
      <w:tblGrid>
        <w:gridCol w:w="1741"/>
        <w:gridCol w:w="146"/>
        <w:gridCol w:w="40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Dean Ditto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(Principal Financial Officer and Principal Accounting Officer)</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6011/000149315225012412/ex1-1.htm" TargetMode="External"/><Relationship Id="rId3" Type="http://schemas.openxmlformats.org/officeDocument/2006/relationships/hyperlink" Target="https://www.sec.gov/Archives/edgar/data/1826011/000149315224049374/ex2-1.htm" TargetMode="External"/><Relationship Id="rId4" Type="http://schemas.openxmlformats.org/officeDocument/2006/relationships/hyperlink" Target="https://www.sec.gov/Archives/edgar/data/1826011/000149315224050891/ex2-1.htm" TargetMode="External"/><Relationship Id="rId5" Type="http://schemas.openxmlformats.org/officeDocument/2006/relationships/hyperlink" Target="https://www.sec.gov/Archives/edgar/data/1826011/000149315225003319/ex2-1.htm" TargetMode="External"/><Relationship Id="rId6" Type="http://schemas.openxmlformats.org/officeDocument/2006/relationships/hyperlink" Target="https://www.sec.gov/Archives/edgar/data/1826011/000119312523300033/d449527dex31.htm" TargetMode="External"/><Relationship Id="rId7" Type="http://schemas.openxmlformats.org/officeDocument/2006/relationships/hyperlink" Target="https://www.sec.gov/Archives/edgar/data/1826011/000119312523300033/d449527dex31.htm" TargetMode="External"/><Relationship Id="rId8" Type="http://schemas.openxmlformats.org/officeDocument/2006/relationships/hyperlink" Target="https://www.sec.gov/Archives/edgar/data/1826011/000119312523300033/d449527dex32.htm" TargetMode="External"/><Relationship Id="rId9" Type="http://schemas.openxmlformats.org/officeDocument/2006/relationships/hyperlink" Target="https://www.sec.gov/Archives/edgar/data/1826011/000119312523300033/d449527dex32.htm" TargetMode="External"/><Relationship Id="rId10" Type="http://schemas.openxmlformats.org/officeDocument/2006/relationships/hyperlink" Target="https://www.sec.gov/Archives/edgar/data/1826011/000149315225009079/ex3-2.htm" TargetMode="External"/><Relationship Id="rId11" Type="http://schemas.openxmlformats.org/officeDocument/2006/relationships/hyperlink" Target="https://www.sec.gov/Archives/edgar/data/1826011/000149315224036413/ex3-1.htm" TargetMode="External"/><Relationship Id="rId12" Type="http://schemas.openxmlformats.org/officeDocument/2006/relationships/hyperlink" Target="https://www.sec.gov/Archives/edgar/data/1826011/000149315225009079/ex3-1.htm" TargetMode="External"/><Relationship Id="rId13" Type="http://schemas.openxmlformats.org/officeDocument/2006/relationships/hyperlink" Target="https://www.sec.gov/Archives/edgar/data/1826011/000164117225016949/ex3-1.htm" TargetMode="External"/><Relationship Id="rId14" Type="http://schemas.openxmlformats.org/officeDocument/2006/relationships/hyperlink" Target="https://www.sec.gov/Archives/edgar/data/1826011/000119312526187087/bnzi-ex3_1.htm" TargetMode="External"/><Relationship Id="rId15" Type="http://schemas.openxmlformats.org/officeDocument/2006/relationships/hyperlink" Target="https://www.sec.gov/Archives/edgar/data/1826011/000119312523300033/d449527dex41.htm" TargetMode="External"/><Relationship Id="rId16" Type="http://schemas.openxmlformats.org/officeDocument/2006/relationships/hyperlink" Target="https://www.sec.gov/Archives/edgar/data/1826011/000119312523300033/d449527dex41.htm" TargetMode="External"/><Relationship Id="rId17" Type="http://schemas.openxmlformats.org/officeDocument/2006/relationships/hyperlink" Target="https://www.sec.gov/Archives/edgar/data/1826011/000119312523300033/d449527dex42.htm" TargetMode="External"/><Relationship Id="rId18" Type="http://schemas.openxmlformats.org/officeDocument/2006/relationships/hyperlink" Target="https://www.sec.gov/Archives/edgar/data/1826011/000119312523300033/d449527dex42.htm" TargetMode="External"/><Relationship Id="rId19" Type="http://schemas.openxmlformats.org/officeDocument/2006/relationships/hyperlink" Target="https://www.sec.gov/Archives/edgar/data/1826011/000119312523300033/d449527dex43.htm" TargetMode="External"/><Relationship Id="rId20" Type="http://schemas.openxmlformats.org/officeDocument/2006/relationships/hyperlink" Target="https://www.sec.gov/Archives/edgar/data/1826011/000119312523300033/d449527dex43.htm" TargetMode="External"/><Relationship Id="rId21" Type="http://schemas.openxmlformats.org/officeDocument/2006/relationships/hyperlink" Target="https://www.sec.gov/Archives/edgar/data/1826011/000121390020044825/ea132294ex4-1_7gcholdings.htm" TargetMode="External"/><Relationship Id="rId22" Type="http://schemas.openxmlformats.org/officeDocument/2006/relationships/hyperlink" Target="https://www.sec.gov/Archives/edgar/data/1826011/000121390020044825/ea132294ex4-1_7gcholdings.htm" TargetMode="External"/><Relationship Id="rId23" Type="http://schemas.openxmlformats.org/officeDocument/2006/relationships/hyperlink" Target="https://www.sec.gov/Archives/edgar/data/1826011/000119312523225201/d441541dex47.htm" TargetMode="External"/><Relationship Id="rId24" Type="http://schemas.openxmlformats.org/officeDocument/2006/relationships/hyperlink" Target="https://www.sec.gov/Archives/edgar/data/1826011/000119312523225201/d441541dex47.htm" TargetMode="External"/><Relationship Id="rId25" Type="http://schemas.openxmlformats.org/officeDocument/2006/relationships/hyperlink" Target="https://www.sec.gov/Archives/edgar/data/1826011/000119312523300033/d449527dex45.htm" TargetMode="External"/><Relationship Id="rId26" Type="http://schemas.openxmlformats.org/officeDocument/2006/relationships/hyperlink" Target="https://www.sec.gov/Archives/edgar/data/1826011/000119312523300033/d449527dex45.htm" TargetMode="External"/><Relationship Id="rId27" Type="http://schemas.openxmlformats.org/officeDocument/2006/relationships/hyperlink" Target="https://www.sec.gov/Archives/edgar/data/1826011/000119312523300033/d449527dex47.htm" TargetMode="External"/><Relationship Id="rId28" Type="http://schemas.openxmlformats.org/officeDocument/2006/relationships/hyperlink" Target="https://www.sec.gov/Archives/edgar/data/1826011/000119312523300033/d449527dex47.htm" TargetMode="External"/><Relationship Id="rId29" Type="http://schemas.openxmlformats.org/officeDocument/2006/relationships/hyperlink" Target="https://www.sec.gov/Archives/edgar/data/1826011/000119312523297160/d564833dex102.htm" TargetMode="External"/><Relationship Id="rId30" Type="http://schemas.openxmlformats.org/officeDocument/2006/relationships/hyperlink" Target="https://www.sec.gov/Archives/edgar/data/1826011/000119312524023808/d567008dex411.htm" TargetMode="External"/><Relationship Id="rId31" Type="http://schemas.openxmlformats.org/officeDocument/2006/relationships/hyperlink" Target="https://www.sec.gov/Archives/edgar/data/1826011/000119312524023808/d567008dex411.htm" TargetMode="External"/><Relationship Id="rId32" Type="http://schemas.openxmlformats.org/officeDocument/2006/relationships/hyperlink" Target="https://www.sec.gov/Archives/edgar/data/1826011/000095017025054303/bnzi-ex4_10.htm" TargetMode="External"/><Relationship Id="rId33" Type="http://schemas.openxmlformats.org/officeDocument/2006/relationships/hyperlink" Target="https://www.sec.gov/Archives/edgar/data/1826011/000149315224050696/ex3-1.htm" TargetMode="External"/><Relationship Id="rId34" Type="http://schemas.openxmlformats.org/officeDocument/2006/relationships/hyperlink" Target="https://www.sec.gov/Archives/edgar/data/1826011/000164117225017861/ex4-1.htm" TargetMode="External"/><Relationship Id="rId35" Type="http://schemas.openxmlformats.org/officeDocument/2006/relationships/hyperlink" Target="https://www.sec.gov/Archives/edgar/data/1826011/000164117225017861/ex4-2.htm" TargetMode="External"/><Relationship Id="rId36" Type="http://schemas.openxmlformats.org/officeDocument/2006/relationships/hyperlink" Target="https://www.sec.gov/Archives/edgar/data/1826011/000149315225012268/ex4-3.htm" TargetMode="External"/><Relationship Id="rId37" Type="http://schemas.openxmlformats.org/officeDocument/2006/relationships/hyperlink" Target="https://www.sec.gov/Archives/edgar/data/1826011/000149315225012268/ex4-4.htm" TargetMode="External"/><Relationship Id="rId38" Type="http://schemas.openxmlformats.org/officeDocument/2006/relationships/hyperlink" Target="https://www.sec.gov/Archives/edgar/data/1826011/000149315226006807/ex4-3.htm" TargetMode="External"/><Relationship Id="rId39" Type="http://schemas.openxmlformats.org/officeDocument/2006/relationships/hyperlink" Target="https://www.sec.gov/Archives/edgar/data/1826011/000149315226006807/ex4-4.htm" TargetMode="External"/><Relationship Id="rId40" Type="http://schemas.openxmlformats.org/officeDocument/2006/relationships/hyperlink" Target="https://www.sec.gov/Archives/edgar/data/1826011/000119312526206397/bnzi-ex10_3.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36110</Words>
  <Characters>190796</Characters>
  <CharactersWithSpaces>228302</CharactersWithSpaces>
  <Paragraphs>7727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