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8"/>
        </w:rPr>
      </w:pPr>
      <w:bookmarkStart w:id="0" w:name="bnzi-20250930.htm"/>
      <w:bookmarkStart w:id="1" w:name="ksbnzi20250930"/>
      <w:bookmarkEnd w:id="0"/>
      <w:bookmarkEnd w:id="1"/>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September 30, 2025</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435 Ericksen Ave, Suite 250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5"/>
        <w:gridCol w:w="146"/>
        <w:gridCol w:w="694"/>
        <w:gridCol w:w="146"/>
        <w:gridCol w:w="2524"/>
      </w:tblGrid>
      <w:tr>
        <w:trPr/>
        <w:tc>
          <w:tcPr>
            <w:tcW w:w="6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66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r>
        <w:trPr/>
        <w:tc>
          <w:tcPr>
            <w:tcW w:w="66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November 11, 2025:</w:t>
      </w:r>
    </w:p>
    <w:p>
      <w:pPr>
        <w:pStyle w:val="TextBody"/>
        <w:bidi w:val="0"/>
        <w:spacing w:before="60" w:after="283"/>
        <w:jc w:val="left"/>
        <w:rPr>
          <w:rFonts w:ascii="Times New Roman" w:hAnsi="Times New Roman"/>
          <w:sz w:val="20"/>
        </w:rPr>
      </w:pPr>
      <w:r>
        <w:rPr>
          <w:rFonts w:ascii="Times New Roman" w:hAnsi="Times New Roman"/>
          <w:color w:val="000000"/>
          <w:sz w:val="18"/>
        </w:rPr>
        <w:t>Class A Common Stock - 6,513,153</w:t>
      </w:r>
      <w:r>
        <w:rPr>
          <w:rFonts w:ascii="Times New Roman" w:hAnsi="Times New Roman"/>
          <w:color w:val="000000"/>
          <w:sz w:val="20"/>
        </w:rPr>
        <w:t xml:space="preserve"> </w:t>
      </w:r>
      <w:r>
        <w:rPr>
          <w:rFonts w:ascii="Times New Roman" w:hAnsi="Times New Roman"/>
          <w:color w:val="000000"/>
          <w:sz w:val="18"/>
        </w:rPr>
        <w:t>shares</w:t>
      </w:r>
    </w:p>
    <w:p>
      <w:pPr>
        <w:pStyle w:val="TextBody"/>
        <w:bidi w:val="0"/>
        <w:spacing w:before="60" w:after="283"/>
        <w:jc w:val="left"/>
        <w:rPr>
          <w:rFonts w:ascii="Times New Roman" w:hAnsi="Times New Roman"/>
          <w:sz w:val="20"/>
        </w:rPr>
      </w:pPr>
      <w:r>
        <w:rPr>
          <w:rFonts w:ascii="Times New Roman" w:hAnsi="Times New Roman"/>
          <w:color w:val="000000"/>
          <w:sz w:val="18"/>
        </w:rPr>
        <w:t>Class B Common Stock - 231,114</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0"/>
        <w:gridCol w:w="8893"/>
        <w:gridCol w:w="512"/>
      </w:tblGrid>
      <w:tr>
        <w:trPr/>
        <w:tc>
          <w:tcPr>
            <w:tcW w:w="800" w:type="dxa"/>
            <w:tcBorders/>
            <w:vAlign w:val="center"/>
          </w:tcPr>
          <w:p>
            <w:pPr>
              <w:pStyle w:val="TableContents"/>
              <w:bidi w:val="0"/>
              <w:spacing w:before="0" w:after="283"/>
              <w:jc w:val="left"/>
              <w:rPr>
                <w:sz w:val="4"/>
                <w:szCs w:val="4"/>
              </w:rPr>
            </w:pPr>
            <w:r>
              <w:rPr>
                <w:sz w:val="4"/>
                <w:szCs w:val="4"/>
              </w:rPr>
            </w:r>
          </w:p>
        </w:tc>
        <w:tc>
          <w:tcPr>
            <w:tcW w:w="889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September 30, 2025 (Unaudited)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
              <w:r>
                <w:rPr>
                  <w:rStyle w:val="InternetLink"/>
                  <w:rFonts w:ascii="Times New Roman" w:hAnsi="Times New Roman"/>
                  <w:color w:val="0000FF"/>
                  <w:sz w:val="20"/>
                  <w:u w:val="single"/>
                </w:rPr>
                <w:t>Unaudited Condensed Consolidated Statements of Changes in Stockholders' Equity (Deficit) for the three and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nine months ended September 30, 2025 and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07"/>
        <w:gridCol w:w="146"/>
        <w:gridCol w:w="208"/>
        <w:gridCol w:w="1072"/>
        <w:gridCol w:w="166"/>
        <w:gridCol w:w="146"/>
        <w:gridCol w:w="208"/>
        <w:gridCol w:w="1038"/>
        <w:gridCol w:w="614"/>
      </w:tblGrid>
      <w:tr>
        <w:trPr/>
        <w:tc>
          <w:tcPr>
            <w:tcW w:w="6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1,087,497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$105,032</w:t>
            </w:r>
            <w:r>
              <w:rPr>
                <w:rFonts w:ascii="Times New Roman" w:hAnsi="Times New Roman"/>
                <w:color w:val="000000"/>
                <w:sz w:val="20"/>
              </w:rPr>
              <w:t> </w:t>
            </w:r>
            <w:r>
              <w:rPr>
                <w:rFonts w:ascii="Times New Roman" w:hAnsi="Times New Roman"/>
                <w:color w:val="000000"/>
                <w:sz w:val="16"/>
              </w:rPr>
              <w:t>and $24,210,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936,321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643,674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2,667,492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3,883,853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18,972,475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72,565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32,986,504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25,674,078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7,782,746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3,891,018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8,639,701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215,057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3,575,000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3,707,872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3,934,627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26,045,912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28,260,148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49,974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27,546,267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28,437,880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275,000,000</w:t>
            </w:r>
            <w:r>
              <w:rPr>
                <w:rFonts w:ascii="Times New Roman" w:hAnsi="Times New Roman"/>
                <w:color w:val="000000"/>
                <w:sz w:val="20"/>
              </w:rPr>
              <w:t> </w:t>
            </w:r>
            <w:r>
              <w:rPr>
                <w:rFonts w:ascii="Times New Roman" w:hAnsi="Times New Roman"/>
                <w:color w:val="000000"/>
                <w:sz w:val="16"/>
              </w:rPr>
              <w:t>(250,000,000</w:t>
            </w:r>
            <w:r>
              <w:rPr>
                <w:rFonts w:ascii="Times New Roman" w:hAnsi="Times New Roman"/>
                <w:color w:val="000000"/>
                <w:sz w:val="20"/>
              </w:rPr>
              <w:t> </w:t>
            </w:r>
            <w:r>
              <w:rPr>
                <w:rFonts w:ascii="Times New Roman" w:hAnsi="Times New Roman"/>
                <w:color w:val="000000"/>
                <w:sz w:val="16"/>
              </w:rPr>
              <w:t>Class A and 25,000,000</w:t>
            </w:r>
            <w:r>
              <w:rPr>
                <w:rFonts w:ascii="Times New Roman" w:hAnsi="Times New Roman"/>
                <w:color w:val="000000"/>
                <w:sz w:val="20"/>
              </w:rPr>
              <w:t> </w:t>
            </w:r>
            <w:r>
              <w:rPr>
                <w:rFonts w:ascii="Times New Roman" w:hAnsi="Times New Roman"/>
                <w:color w:val="000000"/>
                <w:sz w:val="16"/>
              </w:rPr>
              <w:t>Class B) shares authorized and 5,205,098</w:t>
            </w:r>
            <w:r>
              <w:rPr>
                <w:rFonts w:ascii="Times New Roman" w:hAnsi="Times New Roman"/>
                <w:color w:val="000000"/>
                <w:sz w:val="20"/>
              </w:rPr>
              <w:t>  </w:t>
            </w:r>
            <w:r>
              <w:rPr>
                <w:rFonts w:ascii="Times New Roman" w:hAnsi="Times New Roman"/>
                <w:color w:val="000000"/>
                <w:sz w:val="16"/>
              </w:rPr>
              <w:t>(4,973,984</w:t>
            </w:r>
            <w:r>
              <w:rPr>
                <w:rFonts w:ascii="Times New Roman" w:hAnsi="Times New Roman"/>
                <w:color w:val="000000"/>
                <w:sz w:val="20"/>
              </w:rPr>
              <w:t> </w:t>
            </w:r>
            <w:r>
              <w:rPr>
                <w:rFonts w:ascii="Times New Roman" w:hAnsi="Times New Roman"/>
                <w:color w:val="000000"/>
                <w:sz w:val="16"/>
              </w:rPr>
              <w:t>Class A and 231,114</w:t>
            </w:r>
            <w:r>
              <w:rPr>
                <w:rFonts w:ascii="Times New Roman" w:hAnsi="Times New Roman"/>
                <w:color w:val="000000"/>
                <w:sz w:val="20"/>
              </w:rPr>
              <w:t> </w:t>
            </w:r>
            <w:r>
              <w:rPr>
                <w:rFonts w:ascii="Times New Roman" w:hAnsi="Times New Roman"/>
                <w:color w:val="000000"/>
                <w:sz w:val="16"/>
              </w:rPr>
              <w:t>Class B) and 819,516</w:t>
            </w:r>
            <w:r>
              <w:rPr>
                <w:rFonts w:ascii="Times New Roman" w:hAnsi="Times New Roman"/>
                <w:color w:val="000000"/>
                <w:sz w:val="20"/>
              </w:rPr>
              <w:t> </w:t>
            </w:r>
            <w:r>
              <w:rPr>
                <w:rFonts w:ascii="Times New Roman" w:hAnsi="Times New Roman"/>
                <w:color w:val="000000"/>
                <w:sz w:val="16"/>
              </w:rPr>
              <w:t>(588,402</w:t>
            </w:r>
            <w:r>
              <w:rPr>
                <w:rFonts w:ascii="Times New Roman" w:hAnsi="Times New Roman"/>
                <w:color w:val="000000"/>
                <w:sz w:val="20"/>
              </w:rPr>
              <w:t> </w:t>
            </w:r>
            <w:r>
              <w:rPr>
                <w:rFonts w:ascii="Times New Roman" w:hAnsi="Times New Roman"/>
                <w:color w:val="000000"/>
                <w:sz w:val="16"/>
              </w:rPr>
              <w:t>Class A and 231,114</w:t>
            </w:r>
            <w:r>
              <w:rPr>
                <w:rFonts w:ascii="Times New Roman" w:hAnsi="Times New Roman"/>
                <w:color w:val="000000"/>
                <w:sz w:val="20"/>
              </w:rPr>
              <w:t> </w:t>
            </w:r>
            <w:r>
              <w:rPr>
                <w:rFonts w:ascii="Times New Roman" w:hAnsi="Times New Roman"/>
                <w:color w:val="000000"/>
                <w:sz w:val="16"/>
              </w:rPr>
              <w:t>Class B)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75,000,000</w:t>
            </w:r>
            <w:r>
              <w:rPr>
                <w:rFonts w:ascii="Times New Roman" w:hAnsi="Times New Roman"/>
                <w:color w:val="000000"/>
                <w:sz w:val="20"/>
              </w:rPr>
              <w:t> </w:t>
            </w:r>
            <w:r>
              <w:rPr>
                <w:rFonts w:ascii="Times New Roman" w:hAnsi="Times New Roman"/>
                <w:color w:val="000000"/>
                <w:sz w:val="16"/>
              </w:rPr>
              <w:t>shares authorized, 1</w:t>
            </w:r>
            <w:r>
              <w:rPr>
                <w:rFonts w:ascii="Times New Roman" w:hAnsi="Times New Roman"/>
                <w:color w:val="000000"/>
                <w:sz w:val="20"/>
              </w:rPr>
              <w:t> </w:t>
            </w:r>
            <w:r>
              <w:rPr>
                <w:rFonts w:ascii="Times New Roman" w:hAnsi="Times New Roman"/>
                <w:color w:val="000000"/>
                <w:sz w:val="16"/>
              </w:rPr>
              <w:t>and 1</w:t>
            </w:r>
            <w:r>
              <w:rPr>
                <w:rFonts w:ascii="Times New Roman" w:hAnsi="Times New Roman"/>
                <w:color w:val="000000"/>
                <w:sz w:val="20"/>
              </w:rPr>
              <w:t> </w:t>
            </w:r>
            <w:r>
              <w:rPr>
                <w:rFonts w:ascii="Times New Roman" w:hAnsi="Times New Roman"/>
                <w:color w:val="000000"/>
                <w:sz w:val="16"/>
              </w:rPr>
              <w:t>shares issued and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101,260,898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75,515,831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(95,739,807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(78,279,713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5,440,237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(2,763,802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32,986,504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25,674,078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33"/>
        <w:gridCol w:w="146"/>
        <w:gridCol w:w="221"/>
        <w:gridCol w:w="1001"/>
        <w:gridCol w:w="187"/>
        <w:gridCol w:w="164"/>
        <w:gridCol w:w="221"/>
        <w:gridCol w:w="1102"/>
        <w:gridCol w:w="166"/>
        <w:gridCol w:w="146"/>
        <w:gridCol w:w="215"/>
        <w:gridCol w:w="1074"/>
        <w:gridCol w:w="182"/>
        <w:gridCol w:w="160"/>
        <w:gridCol w:w="215"/>
        <w:gridCol w:w="1074"/>
        <w:gridCol w:w="798"/>
      </w:tblGrid>
      <w:tr>
        <w:trPr/>
        <w:tc>
          <w:tcPr>
            <w:tcW w:w="3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Nine Months Ended September 30,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2,844,508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9,350,573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3,228,276</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519,411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1,679,925</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1,049,411</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2,325,097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7,670,648</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2,178,865</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6,460,876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21,006,767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11,721,465</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294,427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841,664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3,725</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6,755,303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21,848,431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11,725,190</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(4,430,206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(2,771,758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(14,177,783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(9,546,325</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GEM settlement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260,000</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393,968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1,288,988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2,860,768</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(4,488,627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(680,762</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release of Vidello revenue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192,000</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444,000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171,000</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issuance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110,500</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390,000</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issuance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65,650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63,408</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conversion and settlement of Alco promissory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4,808,882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4,808,882</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conversion and settlement of CP BF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6,529,402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6,529,402</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1,769,895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(594,000</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warrant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(3,933</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(460,000</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bifurcated embedded derivative assets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(32,000</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(503,338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(265,338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679,000</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75,249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36,813</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(18,000</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Yorkville prepayment premium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94,760</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190,489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937,626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Vidello earnout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Failed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1,382,002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64,372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(523,451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1,187,276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12,641,159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3,169,640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14,106,361</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(5,617,482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(15,412,917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(17,347,423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(23,652,686</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270,109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112,671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6,701</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(5,887,591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(15,413,927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(17,460,094</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(23,659,387</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(82.68</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3,591,228</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2,256,990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286,166</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nine months ended September 30, 2025 and 2024</w:t>
      </w:r>
    </w:p>
    <w:p>
      <w:pPr>
        <w:pStyle w:val="TextBody"/>
        <w:bidi w:val="0"/>
        <w:jc w:val="left"/>
        <w:rPr/>
      </w:pPr>
      <w:r>
        <w:rPr/>
        <w:t> </w:t>
      </w:r>
    </w:p>
    <w:tbl>
      <w:tblPr>
        <w:tblW w:w="12955"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826"/>
        <w:gridCol w:w="146"/>
        <w:gridCol w:w="146"/>
        <w:gridCol w:w="236"/>
        <w:gridCol w:w="455"/>
        <w:gridCol w:w="146"/>
        <w:gridCol w:w="146"/>
        <w:gridCol w:w="196"/>
        <w:gridCol w:w="1006"/>
        <w:gridCol w:w="166"/>
        <w:gridCol w:w="146"/>
        <w:gridCol w:w="278"/>
        <w:gridCol w:w="938"/>
        <w:gridCol w:w="166"/>
        <w:gridCol w:w="146"/>
        <w:gridCol w:w="196"/>
        <w:gridCol w:w="976"/>
        <w:gridCol w:w="166"/>
        <w:gridCol w:w="146"/>
        <w:gridCol w:w="196"/>
        <w:gridCol w:w="886"/>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75,515,831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(78,279,713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7,071,555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7,071,606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(3,643,479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(3,643,479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84,867,917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(81,923,192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2,944,870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6,521,071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6,521,147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upon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2,478,587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92,875,082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(89,852,216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3,023,111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4,099,349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to 1800 diagonal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to 3i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payment to Houlihan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to Perkins Coie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664,409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(5,887,591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(5,887,591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5,205,098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101,260,898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(95,739,807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5,440,237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2"/>
        <w:gridCol w:w="146"/>
        <w:gridCol w:w="208"/>
        <w:gridCol w:w="390"/>
        <w:gridCol w:w="152"/>
        <w:gridCol w:w="152"/>
        <w:gridCol w:w="279"/>
        <w:gridCol w:w="421"/>
        <w:gridCol w:w="146"/>
        <w:gridCol w:w="146"/>
        <w:gridCol w:w="146"/>
        <w:gridCol w:w="691"/>
        <w:gridCol w:w="166"/>
        <w:gridCol w:w="146"/>
        <w:gridCol w:w="249"/>
        <w:gridCol w:w="442"/>
        <w:gridCol w:w="146"/>
        <w:gridCol w:w="146"/>
        <w:gridCol w:w="196"/>
        <w:gridCol w:w="916"/>
        <w:gridCol w:w="146"/>
        <w:gridCol w:w="146"/>
        <w:gridCol w:w="196"/>
        <w:gridCol w:w="976"/>
        <w:gridCol w:w="166"/>
        <w:gridCol w:w="146"/>
        <w:gridCol w:w="197"/>
        <w:gridCol w:w="981"/>
        <w:gridCol w:w="215"/>
      </w:tblGrid>
      <w:tr>
        <w:trPr/>
        <w:tc>
          <w:tcPr>
            <w:tcW w:w="1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14,890,169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(46,766,324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(31,876,129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2,540,091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commitment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500,000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Roth for advisory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278,833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GEM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194,935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Forfeiture of sponsor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(4,290,132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20,213,855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(51,056,456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(30,842,575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and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1,854,817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1,854,818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335,000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 for redemption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115,800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GEM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202,662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(3,955,328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23,162,565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(55,011,784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(31,849,189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4,402,550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2,127,996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2,128,000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GEM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129,943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warrants and pre-funded warrants issued to CP BF on modification of CP BF debt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1,287,003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Premium issued as part of CP BF debt modification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4,079,225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4,079,225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warrants to CP BF,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2,763,161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2,763,161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MZHCI for investor relations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Roth for advisory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J.V.B for payment of outstanding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115,000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warrants and pre-funded warrants issued to Alco on settlement of Alco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8,866,617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8,866,620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(15,413,927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(15,413,927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430,344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47,579,705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(70,425,711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(22,845,966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pPr>
      <w:r>
        <w:rPr/>
        <w:t> </w:t>
      </w:r>
    </w:p>
    <w:tbl>
      <w:tblPr>
        <w:tblW w:w="8676" w:type="dxa"/>
        <w:jc w:val="left"/>
        <w:tblInd w:w="0" w:type="dxa"/>
        <w:tblLayout w:type="fixed"/>
        <w:tblCellMar>
          <w:top w:w="28" w:type="dxa"/>
          <w:left w:w="28" w:type="dxa"/>
          <w:bottom w:w="28" w:type="dxa"/>
          <w:right w:w="28" w:type="dxa"/>
        </w:tblCellMar>
      </w:tblPr>
      <w:tblGrid>
        <w:gridCol w:w="5456"/>
        <w:gridCol w:w="146"/>
        <w:gridCol w:w="200"/>
        <w:gridCol w:w="900"/>
        <w:gridCol w:w="184"/>
        <w:gridCol w:w="162"/>
        <w:gridCol w:w="200"/>
        <w:gridCol w:w="917"/>
        <w:gridCol w:w="511"/>
      </w:tblGrid>
      <w:tr>
        <w:trPr/>
        <w:tc>
          <w:tcPr>
            <w:tcW w:w="5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(17,460,094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(23,659,387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841,664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80,822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 issuance for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259,027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974,261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settlement of GEM commitment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1,087,881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 issuance for Yorkville redemption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80,760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951,049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1,179,198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discount and issuance costs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1,392,934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131,627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1,757,099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496,337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(4,488,627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(680,762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release of Vidello revenue holdback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conversion and settlement of Alco promissory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4,808,882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conversion and settlement of CP BF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6,529,402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issuance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issuance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146,150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2,276,000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1,769,895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bifurcated embedded derivative asset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(514,338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promissory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391,040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(33,805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50,980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157,954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(876,069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3,576,434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(674,721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(248,034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(16,740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(231,691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559,804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(23,917</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(70,290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(13,416,431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(5,363,004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in acquisition of Vidello,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(2,677,480</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(2,677,480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(215,057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Vidello transition holdback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(3,640,000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related party advance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related party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4,250,000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(7,722,530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(412,421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Repayments of private placement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(1,291,516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(2,840,677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Yorkville redemption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9,039,472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2,502,000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received for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17,692,102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49,800</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deferred offering costs - ATM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(238,330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pre-funded warrants under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329,996</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1,115,271</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6,257,368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15,928,531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7,532,853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(236,141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4"/>
              </w:rPr>
            </w:pPr>
            <w:r>
              <w:rPr>
                <w:rFonts w:ascii="sans-serif" w:hAnsi="sans-serif"/>
                <w:color w:val="000000"/>
                <w:sz w:val="14"/>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2,169,849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1,087,497</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2,093,718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851,356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4,263,567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left"/>
        <w:rPr/>
      </w:pPr>
      <w:r>
        <w:rPr/>
        <w:t> </w:t>
      </w:r>
    </w:p>
    <w:tbl>
      <w:tblPr>
        <w:tblW w:w="6549" w:type="dxa"/>
        <w:jc w:val="left"/>
        <w:tblInd w:w="0" w:type="dxa"/>
        <w:tblLayout w:type="fixed"/>
        <w:tblCellMar>
          <w:top w:w="28" w:type="dxa"/>
          <w:left w:w="28" w:type="dxa"/>
          <w:bottom w:w="28" w:type="dxa"/>
          <w:right w:w="28" w:type="dxa"/>
        </w:tblCellMar>
      </w:tblPr>
      <w:tblGrid>
        <w:gridCol w:w="4246"/>
        <w:gridCol w:w="146"/>
        <w:gridCol w:w="146"/>
        <w:gridCol w:w="691"/>
        <w:gridCol w:w="146"/>
        <w:gridCol w:w="146"/>
        <w:gridCol w:w="146"/>
        <w:gridCol w:w="69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306,109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Roth for advisory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GEM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MZHCI for investor relations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J.V.B for payment of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CP BF for debt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and pre-funded warrants issued to CP BF for debt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2,763,161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Alco for debt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and pre-funded warrants issued to Alco for debt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7,768,006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Settlement of GEM commitment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Yorkville for commitment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Yorkville for redemption premium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3i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1,649,146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payment of outstanding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for 1800 Diagonal Note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Yorkville of aggregate commitment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convertible promissory note - GEM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Bifurcated embedded derivative liabilities at issuance—related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notes -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2,540,091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notes_to_financial_statements"/>
      <w:bookmarkEnd w:id="7"/>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Reverse Stock Splits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29, 2024, the Company held a special meeting of securityholders (the “Special Meeting”). At the Special Meeting, the Company’s securityholders approved the proposal to amend the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(the "2024 Reverse Stock Split"). On September 10, 2024, the Board determined to effect a reverse stock split at a ratio of 1-for-50, effective as of September 19, 2024 and filed an amendment with the Secretary of State of the State of Delaware. The Class B Common Stock was not affected by the 2024 Reverse Stock Split.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No cash or fractional shares were issued in connection with the 2024 Reverse Stock Split and 2025 Reverse Stock Split, and instead the Company rounded up to the next whole share in lieu of issuing fractional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Common Stock share and per share information included in this Quarterly Report on Form 10-Q has been retroactively adjusted to reflect the impact of the Reverse Stock Split.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public companies that are not emerging growth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Section 102(b) (1) of the JOBS Act exempts emerging growth companies from being required to comply with new or revised financial accounting standards until private companies are required to comply. Private companies are those companies that have not had a Securities Act registration statement declared effective or do not have a class of securities registered under the Exchange Act of 1934, as amended (the "Exchange Act"). The JOBS Act provides that a company can elect to opt out of the extended transition period and comply with the requirements that apply to non-emerging growth companies. Any such election to opt out is irrevocable. The Company has elected not to opt out of such extended transition period, which means that when a standard is issued or revised, it adopts the new or revised standard at the time private companies adopt the new or revised standard. Therefore, the Company’s financial statements may not be comparable to certain public companies.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Revision of Prior Period Financial Statements</w:t>
      </w:r>
    </w:p>
    <w:p>
      <w:pPr>
        <w:pStyle w:val="TextBody"/>
        <w:bidi w:val="0"/>
        <w:jc w:val="both"/>
        <w:rPr>
          <w:rFonts w:ascii="Times New Roman" w:hAnsi="Times New Roman"/>
          <w:color w:val="000000"/>
          <w:sz w:val="20"/>
        </w:rPr>
      </w:pPr>
      <w:r>
        <w:rPr>
          <w:rFonts w:ascii="Times New Roman" w:hAnsi="Times New Roman"/>
          <w:color w:val="000000"/>
          <w:sz w:val="20"/>
        </w:rPr>
        <w:t>A revision was made to correct an immaterial overstatement of revenue for the three and six months ending June 30, 2025, due to an incorrect calculation of revenue recognition. To correct the identified error, the Company made certain revisions in this Form 10-Q, with respect to the revenue amounts for the three and six months ended June 30, 2025. The Company corrected the historic amounts for the three and six months ended June 30, 2025 to reflect the correction of this immaterial error rather than record a cumulative out-of-period adjustment in the current three month period ended September 30,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2025 the Company had cash of approximately $0.9 million. For the nine months ended September 30, 2025, the Company used approximately $13.4 million in cash for operating activities. The Company has incurred recurring net losses from operations and negative cash flows from operating activities since inception. As of September 30, 2025, the Company had an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accumulated deficit of approximately $95.7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13</w:t>
      </w:r>
      <w:r>
        <w:rPr>
          <w:rFonts w:ascii="Times New Roman" w:hAnsi="Times New Roman"/>
          <w:color w:val="000000"/>
          <w:sz w:val="20"/>
        </w:rPr>
        <w:t xml:space="preserve">) and equity financings associated with the Yorkville SEPA (as defined in </w:t>
      </w:r>
      <w:r>
        <w:rPr>
          <w:rFonts w:ascii="Times New Roman" w:hAnsi="Times New Roman"/>
          <w:i/>
          <w:color w:val="000000"/>
          <w:sz w:val="20"/>
        </w:rPr>
        <w:t>Note 16</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U.S. GAAP have been omitted pursuant to such rules and regulations of the SEC relating to interim financial statements. The December 31, 2024 balance sheet information was derived from the audited financial statements as of that date. Except as disclosed herein, there has been no material change in the information disclosed in the notes to the consolidated financial statements for the year ended December 31, 2024 included in the Company’s Annual Report on Form 10-K, as filed with the Securities and Exchange Commission on April 15, 2025.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September 30, 2025 are not necessarily indicative of the results that may be expected for the year ending December 31, 2025.</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are presented at fair value, net of amortization. The fair value is determined based on the appraised value of the asset. Intangible assets are composed of developed technology, trade names and customer lists. Intangible assets subject to amortization consist of the following:</w:t>
      </w:r>
    </w:p>
    <w:p>
      <w:pPr>
        <w:pStyle w:val="TextBody"/>
        <w:bidi w:val="0"/>
        <w:jc w:val="left"/>
        <w:rPr/>
      </w:pPr>
      <w:r>
        <w:rPr/>
        <w:t> </w:t>
      </w:r>
    </w:p>
    <w:tbl>
      <w:tblPr>
        <w:tblW w:w="7484" w:type="dxa"/>
        <w:jc w:val="left"/>
        <w:tblInd w:w="0" w:type="dxa"/>
        <w:tblLayout w:type="fixed"/>
        <w:tblCellMar>
          <w:top w:w="28" w:type="dxa"/>
          <w:left w:w="28" w:type="dxa"/>
          <w:bottom w:w="28" w:type="dxa"/>
          <w:right w:w="28" w:type="dxa"/>
        </w:tblCellMar>
      </w:tblPr>
      <w:tblGrid>
        <w:gridCol w:w="2746"/>
        <w:gridCol w:w="146"/>
        <w:gridCol w:w="2611"/>
        <w:gridCol w:w="327"/>
        <w:gridCol w:w="1443"/>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1,139,710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3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6,425,010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9,201,808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(869,712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8,332,096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$838,364 for the nine months ended September 30, 2025. Expected amortization expense is as follows:</w:t>
      </w:r>
    </w:p>
    <w:p>
      <w:pPr>
        <w:pStyle w:val="TextBody"/>
        <w:bidi w:val="0"/>
        <w:jc w:val="left"/>
        <w:rPr/>
      </w:pPr>
      <w:r>
        <w:rPr/>
        <w:t> </w:t>
      </w:r>
    </w:p>
    <w:tbl>
      <w:tblPr>
        <w:tblW w:w="5526" w:type="dxa"/>
        <w:jc w:val="left"/>
        <w:tblInd w:w="0" w:type="dxa"/>
        <w:tblLayout w:type="fixed"/>
        <w:tblCellMar>
          <w:top w:w="28" w:type="dxa"/>
          <w:left w:w="28" w:type="dxa"/>
          <w:bottom w:w="28" w:type="dxa"/>
          <w:right w:w="28" w:type="dxa"/>
        </w:tblCellMar>
      </w:tblPr>
      <w:tblGrid>
        <w:gridCol w:w="3901"/>
        <w:gridCol w:w="146"/>
        <w:gridCol w:w="146"/>
        <w:gridCol w:w="211"/>
        <w:gridCol w:w="931"/>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Year Ending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401,171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 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3,161,948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8,422,799</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12529"/>
          <w:sz w:val="20"/>
        </w:rPr>
        <w:t xml:space="preserve">The Company periodically evaluates its long-lived assets for potential impairment in accordance with ASC Topic 360, Property, Plant and Equipment </w:t>
      </w:r>
      <w:r>
        <w:rPr>
          <w:rFonts w:ascii="Times New Roman" w:hAnsi="Times New Roman"/>
          <w:i/>
          <w:color w:val="212529"/>
          <w:sz w:val="20"/>
        </w:rPr>
        <w:t>(</w:t>
      </w:r>
      <w:r>
        <w:rPr>
          <w:rFonts w:ascii="Times New Roman" w:hAnsi="Times New Roman"/>
          <w:color w:val="212529"/>
          <w:sz w:val="20"/>
        </w:rPr>
        <w:t>“</w:t>
      </w:r>
      <w:r>
        <w:rPr>
          <w:rFonts w:ascii="Times New Roman" w:hAnsi="Times New Roman"/>
          <w:i/>
          <w:color w:val="212529"/>
          <w:sz w:val="20"/>
        </w:rPr>
        <w:t>ASC 360</w:t>
      </w:r>
      <w:r>
        <w:rPr>
          <w:rFonts w:ascii="Times New Roman" w:hAnsi="Times New Roman"/>
          <w:color w:val="212529"/>
          <w:sz w:val="20"/>
        </w:rPr>
        <w:t xml:space="preserve">”).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through </w:t>
      </w:r>
      <w:r>
        <w:rPr>
          <w:rFonts w:ascii="Times New Roman" w:hAnsi="Times New Roman"/>
          <w:color w:val="000000"/>
          <w:sz w:val="20"/>
        </w:rPr>
        <w:t>September 30, 2025</w:t>
      </w:r>
      <w:r>
        <w:rPr>
          <w:rFonts w:ascii="Times New Roman" w:hAnsi="Times New Roman"/>
          <w:color w:val="212529"/>
          <w:sz w:val="20"/>
        </w:rPr>
        <w:t>.</w:t>
      </w:r>
    </w:p>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warrants originally issued in 7GC's initial public offering (the "Public Warrants") are recognized as derivative liabilities in accordance with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Company's consolidated balance sheets.</w:t>
      </w:r>
    </w:p>
    <w:p>
      <w:pPr>
        <w:pStyle w:val="TextBody"/>
        <w:bidi w:val="0"/>
        <w:spacing w:before="200" w:after="283"/>
        <w:jc w:val="both"/>
        <w:rPr>
          <w:rFonts w:ascii="Times New Roman" w:hAnsi="Times New Roman"/>
          <w:sz w:val="20"/>
        </w:rPr>
      </w:pPr>
      <w:r>
        <w:rPr>
          <w:rFonts w:ascii="Times New Roman" w:hAnsi="Times New Roman"/>
          <w:i/>
          <w:color w:val="000000"/>
          <w:sz w:val="20"/>
        </w:rPr>
        <w:t>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50"/>
        <w:gridCol w:w="146"/>
        <w:gridCol w:w="237"/>
        <w:gridCol w:w="1118"/>
        <w:gridCol w:w="187"/>
        <w:gridCol w:w="164"/>
        <w:gridCol w:w="237"/>
        <w:gridCol w:w="1236"/>
        <w:gridCol w:w="166"/>
        <w:gridCol w:w="146"/>
        <w:gridCol w:w="231"/>
        <w:gridCol w:w="1199"/>
        <w:gridCol w:w="181"/>
        <w:gridCol w:w="159"/>
        <w:gridCol w:w="231"/>
        <w:gridCol w:w="1199"/>
        <w:gridCol w:w="218"/>
      </w:tblGrid>
      <w:tr>
        <w:trPr/>
        <w:tc>
          <w:tcPr>
            <w:tcW w:w="3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(5,887,591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(17,460,094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(23,659,387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3,591,228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2,256,990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286,166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position that could potentially be dilutive in future periods are as follows:</w:t>
      </w:r>
    </w:p>
    <w:p>
      <w:pPr>
        <w:pStyle w:val="TextBody"/>
        <w:bidi w:val="0"/>
        <w:jc w:val="both"/>
        <w:rPr/>
      </w:pPr>
      <w:r>
        <w:rPr/>
        <w:t> </w:t>
      </w:r>
    </w:p>
    <w:tbl>
      <w:tblPr>
        <w:tblW w:w="5274" w:type="dxa"/>
        <w:jc w:val="left"/>
        <w:tblInd w:w="0" w:type="dxa"/>
        <w:tblLayout w:type="fixed"/>
        <w:tblCellMar>
          <w:top w:w="28" w:type="dxa"/>
          <w:left w:w="28" w:type="dxa"/>
          <w:bottom w:w="28" w:type="dxa"/>
          <w:right w:w="28" w:type="dxa"/>
        </w:tblCellMar>
      </w:tblPr>
      <w:tblGrid>
        <w:gridCol w:w="2641"/>
        <w:gridCol w:w="146"/>
        <w:gridCol w:w="146"/>
        <w:gridCol w:w="931"/>
        <w:gridCol w:w="146"/>
        <w:gridCol w:w="146"/>
        <w:gridCol w:w="146"/>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Bifurcated embedded derivatives are classified with the related host contract in the Company’s balance sheet.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13 -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sz w:val="20"/>
        </w:rPr>
      </w:pPr>
      <w:r>
        <w:rPr>
          <w:rFonts w:ascii="Times New Roman" w:hAnsi="Times New Roman"/>
          <w:b/>
          <w:i/>
          <w:color w:val="000000"/>
          <w:sz w:val="20"/>
        </w:rPr>
        <w:t xml:space="preserve">Bridge Notes and </w:t>
      </w:r>
      <w:r>
        <w:rPr>
          <w:rFonts w:ascii="Times New Roman" w:hAnsi="Times New Roman"/>
          <w:b/>
          <w:i/>
          <w:color w:val="212529"/>
          <w:sz w:val="20"/>
        </w:rPr>
        <w:t>Private Placement Convertible Notes</w:t>
      </w:r>
      <w:r>
        <w:rPr>
          <w:rFonts w:ascii="Times New Roman" w:hAnsi="Times New Roman"/>
          <w:color w:val="000000"/>
          <w:sz w:val="20"/>
        </w:rPr>
        <w:t xml:space="preserve"> </w:t>
      </w:r>
      <w:r>
        <w:rPr>
          <w:rFonts w:ascii="Times New Roman" w:hAnsi="Times New Roman"/>
          <w:b/>
          <w:i/>
          <w:color w:val="000000"/>
          <w:sz w:val="20"/>
        </w:rPr>
        <w:t>- 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Agile Notes and 1800 Diagonal Notes (The "Bridge Notes") and the </w:t>
      </w:r>
      <w:r>
        <w:rPr>
          <w:rFonts w:ascii="Times New Roman" w:hAnsi="Times New Roman"/>
          <w:color w:val="212529"/>
          <w:sz w:val="20"/>
        </w:rPr>
        <w:t>Private Placement Convertible Notes</w:t>
      </w:r>
      <w:r>
        <w:rPr>
          <w:rFonts w:ascii="Times New Roman" w:hAnsi="Times New Roman"/>
          <w:color w:val="000000"/>
          <w:sz w:val="20"/>
        </w:rPr>
        <w:t xml:space="preserve"> (as defined in </w:t>
      </w:r>
      <w:r>
        <w:rPr>
          <w:rFonts w:ascii="Times New Roman" w:hAnsi="Times New Roman"/>
          <w:i/>
          <w:color w:val="000000"/>
          <w:sz w:val="20"/>
        </w:rPr>
        <w:t>Note 13</w:t>
      </w:r>
      <w:r>
        <w:rPr>
          <w:rFonts w:ascii="Times New Roman" w:hAnsi="Times New Roman"/>
          <w:color w:val="000000"/>
          <w:sz w:val="20"/>
        </w:rPr>
        <w:t xml:space="preserve">) were eligible for the fair value option, in accordance with ASC 825-10-50-28, and made such election to account for the Bridge Notes and </w:t>
      </w:r>
      <w:r>
        <w:rPr>
          <w:rFonts w:ascii="Times New Roman" w:hAnsi="Times New Roman"/>
          <w:color w:val="212529"/>
          <w:sz w:val="20"/>
        </w:rPr>
        <w:t>Private Placement Convertible Notes</w:t>
      </w:r>
      <w:r>
        <w:rPr>
          <w:rFonts w:ascii="Times New Roman" w:hAnsi="Times New Roman"/>
          <w:color w:val="000000"/>
          <w:sz w:val="20"/>
        </w:rPr>
        <w:t xml:space="preserve"> at fair value. 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Company records the portion of the Bridge Notes and </w:t>
      </w:r>
      <w:r>
        <w:rPr>
          <w:rFonts w:ascii="Times New Roman" w:hAnsi="Times New Roman"/>
          <w:color w:val="212529"/>
          <w:sz w:val="20"/>
        </w:rPr>
        <w:t>Private Placement Convertible Notes</w:t>
      </w:r>
      <w:r>
        <w:rPr>
          <w:rFonts w:ascii="Times New Roman" w:hAnsi="Times New Roman"/>
          <w:color w:val="000000"/>
          <w:sz w:val="20"/>
        </w:rPr>
        <w:t xml:space="preserve"> that are issued and outstanding for accounting purposes at fair value with changes in fair value recorded in other income (expense), net in the condensed consolidated statement of operations, except for the portion of the total change in fair value that results from a change in the instrument-specific credit risk of the Bridge Notes and </w:t>
      </w:r>
      <w:r>
        <w:rPr>
          <w:rFonts w:ascii="Times New Roman" w:hAnsi="Times New Roman"/>
          <w:color w:val="212529"/>
          <w:sz w:val="20"/>
        </w:rPr>
        <w:t>Private Placement Convertible Notes</w:t>
      </w:r>
      <w:r>
        <w:rPr>
          <w:rFonts w:ascii="Times New Roman" w:hAnsi="Times New Roman"/>
          <w:color w:val="000000"/>
          <w:sz w:val="20"/>
        </w:rPr>
        <w:t xml:space="preserve">, which is recorded in other comprehensive income (loss), if applicable. The fair value option election was made to align the accounting for the Bridge Notes and </w:t>
      </w:r>
      <w:r>
        <w:rPr>
          <w:rFonts w:ascii="Times New Roman" w:hAnsi="Times New Roman"/>
          <w:color w:val="212529"/>
          <w:sz w:val="20"/>
        </w:rPr>
        <w:t>Private Placement Convertible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Pursuant to the fair value option election, direct and incremental debt issuance costs and consideration paid to the lender related to the Bridge Notes and </w:t>
      </w:r>
      <w:r>
        <w:rPr>
          <w:rFonts w:ascii="Times New Roman" w:hAnsi="Times New Roman"/>
          <w:color w:val="212529"/>
          <w:sz w:val="20"/>
        </w:rPr>
        <w:t xml:space="preserve">Private Placement Convertible Notes </w:t>
      </w:r>
      <w:r>
        <w:rPr>
          <w:rFonts w:ascii="Times New Roman" w:hAnsi="Times New Roman"/>
          <w:color w:val="000000"/>
          <w:sz w:val="20"/>
        </w:rPr>
        <w:t xml:space="preserve">were expensed as incurred and recorded in other income (expense), net in the condensed consolidated statements of operations. Measurement of the change in fair value of the Bridge Notes and </w:t>
      </w:r>
      <w:r>
        <w:rPr>
          <w:rFonts w:ascii="Times New Roman" w:hAnsi="Times New Roman"/>
          <w:color w:val="212529"/>
          <w:sz w:val="20"/>
        </w:rPr>
        <w:t>Private Placement Convertible Notes</w:t>
      </w:r>
      <w:r>
        <w:rPr>
          <w:rFonts w:ascii="Times New Roman" w:hAnsi="Times New Roman"/>
          <w:color w:val="000000"/>
          <w:sz w:val="20"/>
        </w:rPr>
        <w:t xml:space="preserve"> includes accrued interest, whether paid-in-kind or cash.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Measurements and Disclosures</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and nine months ended September 30, 2025 and 2024. The carrying amount of cash, accounts receivable, prepaid expenses and other current assets, accounts payable, accrued expenses, deferred revenue, and other current liabilities approximated their fair values as of September 30, 2025 and December 31, 2024.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amendments are effective for annual periods beginning after December 15, 2024. Early adoption is permitted and should be applied prospectively. The Company is currently evaluating the effect of adopting this guidance on its consolidated financial statements.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2025, The Financial Accounting Standards Board (“FASB”) issued Accounting Standards Update (“ASU”) 2025-05, “Financial Instruments-Credit Losses (Topic 326): Measurement of Credit Losses for Accounts Receivable and Contract Assets”,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xml:space="preserve">. The amendments improve reportable segment disclosure requirements through enhanced disclosures over significant segment expenses regularly provided to the Chief Operating Decision Maker ("CODM"), extending certain annual disclosures to interim periods, and through permitting more than one measure of segment profit or loss to be reported under certain conditions. The Company adopted this guidance effective December 31, 2024, on a retrospective basis. Refer to </w:t>
      </w:r>
      <w:r>
        <w:rPr>
          <w:rFonts w:ascii="Times New Roman" w:hAnsi="Times New Roman"/>
          <w:i/>
          <w:color w:val="000000"/>
          <w:sz w:val="20"/>
        </w:rPr>
        <w:t>Note 19</w:t>
      </w:r>
      <w:r>
        <w:rPr>
          <w:rFonts w:ascii="Times New Roman" w:hAnsi="Times New Roman"/>
          <w:color w:val="000000"/>
          <w:sz w:val="20"/>
        </w:rPr>
        <w:t xml:space="preserve"> for further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 of 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 Merger Agreement (the "Vidello Merger Agreement"), dated December 19, 2024, by and among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89,820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Company recognized $485,720 of expense after foreign currency translation in the Condensed Consolidated Statements of Operations related to the Transition Holdback Amount in the line Vidello earnout expense. As of September 30, 2025, the Company had paid the contractual amount of $500,000 to the Vidello Shareholders for the Transition Holdback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180 day measurement period for the Revenue Holdback had lapsed and the revenue conditions as defined in the Vidello Merger Agreement had not been met. As such the Company recognized a gain on the extinguishment of Vidello revenue holdback of $973,000 for the three and nine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incurred transaction costs of approximately $730,000 which are included in the Company’s condensed consolidated statement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Accounting Standards Codification Topic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pStyle w:val="TextBody"/>
        <w:bidi w:val="0"/>
        <w:jc w:val="left"/>
        <w:rPr/>
      </w:pPr>
      <w:r>
        <w:rPr/>
        <w:t> </w:t>
      </w:r>
    </w:p>
    <w:tbl>
      <w:tblPr>
        <w:tblW w:w="5365" w:type="dxa"/>
        <w:jc w:val="left"/>
        <w:tblInd w:w="0" w:type="dxa"/>
        <w:tblLayout w:type="fixed"/>
        <w:tblCellMar>
          <w:top w:w="28" w:type="dxa"/>
          <w:left w:w="28" w:type="dxa"/>
          <w:bottom w:w="28" w:type="dxa"/>
          <w:right w:w="28" w:type="dxa"/>
        </w:tblCellMar>
      </w:tblPr>
      <w:tblGrid>
        <w:gridCol w:w="3886"/>
        <w:gridCol w:w="146"/>
        <w:gridCol w:w="211"/>
        <w:gridCol w:w="93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1,861,039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4351"/>
        <w:gridCol w:w="146"/>
        <w:gridCol w:w="211"/>
        <w:gridCol w:w="931"/>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Vidello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Vidello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Vidello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5,373,926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date these condensed consolidated financial statements were issued, the purchase accounting related to this acquisition was incomplete as certain working capital balances were subject to potential change. The Company has reflected the provisional amounts in these condensed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acquisition date fair values are as follows:</w:t>
      </w:r>
    </w:p>
    <w:p>
      <w:pPr>
        <w:pStyle w:val="TextBody"/>
        <w:bidi w:val="0"/>
        <w:jc w:val="left"/>
        <w:rPr/>
      </w:pPr>
      <w:r>
        <w:rPr/>
        <w:t> </w:t>
      </w:r>
    </w:p>
    <w:tbl>
      <w:tblPr>
        <w:tblW w:w="5840" w:type="dxa"/>
        <w:jc w:val="left"/>
        <w:tblInd w:w="0" w:type="dxa"/>
        <w:tblLayout w:type="fixed"/>
        <w:tblCellMar>
          <w:top w:w="28" w:type="dxa"/>
          <w:left w:w="28" w:type="dxa"/>
          <w:bottom w:w="28" w:type="dxa"/>
          <w:right w:w="28" w:type="dxa"/>
        </w:tblCellMar>
      </w:tblPr>
      <w:tblGrid>
        <w:gridCol w:w="2836"/>
        <w:gridCol w:w="146"/>
        <w:gridCol w:w="1021"/>
        <w:gridCol w:w="146"/>
        <w:gridCol w:w="203"/>
        <w:gridCol w:w="1297"/>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Acquisition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 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Condensed Consolidated Statement of Operations for the three and nine months ended September 30, 2025 includes net loss of approximately $723 thousand and net income of $239 thousand , respectively, of Vidello from the date of acquisition to September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5191"/>
        <w:gridCol w:w="261"/>
        <w:gridCol w:w="1360"/>
        <w:gridCol w:w="205"/>
        <w:gridCol w:w="181"/>
        <w:gridCol w:w="261"/>
        <w:gridCol w:w="136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9,581,008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8,707,071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1,870,380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21,921,778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3,169,640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(17,380,790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(22,088,031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Due to Related Party of 7GC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2023, the Sponsor paid certain expenses on behalf of 7GC. Upon Closing of the Merger, Banzai assumed the $67,118 liability. As of September 30, 2025, the entire balance remained outstanding and is included within due to related party under current liabilities on the accompanying condensed consolidated balance sheet.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Legacy Banzai Related Party Transactions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2023, Legacy Banzai issued Promissory Notes and Convertible Notes to related parties. See </w:t>
      </w:r>
      <w:r>
        <w:rPr>
          <w:rFonts w:ascii="Times New Roman" w:hAnsi="Times New Roman"/>
          <w:i/>
          <w:color w:val="000000"/>
          <w:sz w:val="20"/>
        </w:rPr>
        <w:t xml:space="preserve">Note 13 - Debt </w:t>
      </w:r>
      <w:r>
        <w:rPr>
          <w:rFonts w:ascii="Times New Roman" w:hAnsi="Times New Roman"/>
          <w:color w:val="000000"/>
          <w:sz w:val="20"/>
        </w:rPr>
        <w:t>for further details related to these transactions and associated balances.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hAnsi="Times New Roman"/>
          <w:i/>
          <w:color w:val="000000"/>
          <w:sz w:val="20"/>
        </w:rPr>
        <w:t>Note 13 - Debt</w:t>
      </w:r>
      <w:r>
        <w:rPr>
          <w:rFonts w:ascii="Times New Roman" w:hAnsi="Times New Roman"/>
          <w:color w:val="000000"/>
          <w:sz w:val="20"/>
        </w:rPr>
        <w:t>, for further details related to the transaction and associated balances.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Due to Related Party of Company CEO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2024, the CEO of the Company loaned the Company an advance of $100,000. The advance is non-interest bearing, and matures one year from issuance. During the three months ended September 30, 2025, the outstanding balance was repaid.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ASC 606, the Company measures revenue based on considerations specified in terms and conditions agreed to by a customer. The Company recognizes revenue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services include providing end-to-end video engagement solutions that provide a fast, intuitive and powerful platform of marketing tools that create more intent-driven videos, webinars, virtual events and other digital and in-person marketing campaigns.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noted within the SOW’s and invoices, agreements range from monthly, to annual, to multi-year and Banzai generally provides for net 30-day payment terms with the payment made directly through check or electronic means.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Banzai’s Management believes its exposure to credit risk is sufficiently mitigated by collection through credit card sales or direct payment from established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follows the provisions of ASC 606, under which the Company recognizes revenue when the customer obtains control of promised goods or services, in an amount that reflects the consideration which is expected to be received in exchange for those goods or services. The Company recognizes revenues following the five-step model prescribed under ASC 606: (i) identify contract(s) with a customer; (ii) identify the performance obligation(s) in the contract; (iii) determine the transaction price; (iv) allocate the transaction price to the performance obligation(s) in the contract; and (v) recognize revenues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Sales, value add, and other taxes collected on behalf of third parties are excluded from revenue.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$93,493 and $104,452, during the nine months ended September 30, 2025 and 2024,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three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10"/>
        <w:gridCol w:w="146"/>
        <w:gridCol w:w="211"/>
        <w:gridCol w:w="931"/>
        <w:gridCol w:w="146"/>
        <w:gridCol w:w="146"/>
        <w:gridCol w:w="442"/>
        <w:gridCol w:w="1280"/>
        <w:gridCol w:w="271"/>
        <w:gridCol w:w="146"/>
        <w:gridCol w:w="211"/>
        <w:gridCol w:w="931"/>
        <w:gridCol w:w="146"/>
        <w:gridCol w:w="146"/>
        <w:gridCol w:w="442"/>
        <w:gridCol w:w="1280"/>
        <w:gridCol w:w="520"/>
      </w:tblGrid>
      <w:tr>
        <w:trPr/>
        <w:tc>
          <w:tcPr>
            <w:tcW w:w="2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nine months ended September 30, 2025 and 2024:</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2810"/>
        <w:gridCol w:w="146"/>
        <w:gridCol w:w="211"/>
        <w:gridCol w:w="931"/>
        <w:gridCol w:w="146"/>
        <w:gridCol w:w="146"/>
        <w:gridCol w:w="442"/>
        <w:gridCol w:w="1280"/>
        <w:gridCol w:w="271"/>
        <w:gridCol w:w="146"/>
        <w:gridCol w:w="211"/>
        <w:gridCol w:w="931"/>
        <w:gridCol w:w="146"/>
        <w:gridCol w:w="146"/>
        <w:gridCol w:w="442"/>
        <w:gridCol w:w="1280"/>
        <w:gridCol w:w="520"/>
      </w:tblGrid>
      <w:tr>
        <w:trPr/>
        <w:tc>
          <w:tcPr>
            <w:tcW w:w="2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jc w:val="both"/>
        <w:rPr/>
      </w:pPr>
      <w:r>
        <w:rPr/>
        <w:t> </w:t>
      </w:r>
    </w:p>
    <w:tbl>
      <w:tblPr>
        <w:tblW w:w="9419" w:type="dxa"/>
        <w:jc w:val="left"/>
        <w:tblInd w:w="0" w:type="dxa"/>
        <w:tblLayout w:type="fixed"/>
        <w:tblCellMar>
          <w:top w:w="28" w:type="dxa"/>
          <w:left w:w="28" w:type="dxa"/>
          <w:bottom w:w="28" w:type="dxa"/>
          <w:right w:w="28" w:type="dxa"/>
        </w:tblCellMar>
      </w:tblPr>
      <w:tblGrid>
        <w:gridCol w:w="2116"/>
        <w:gridCol w:w="146"/>
        <w:gridCol w:w="332"/>
        <w:gridCol w:w="1228"/>
        <w:gridCol w:w="146"/>
        <w:gridCol w:w="146"/>
        <w:gridCol w:w="316"/>
        <w:gridCol w:w="1169"/>
        <w:gridCol w:w="146"/>
        <w:gridCol w:w="146"/>
        <w:gridCol w:w="332"/>
        <w:gridCol w:w="1228"/>
        <w:gridCol w:w="146"/>
        <w:gridCol w:w="146"/>
        <w:gridCol w:w="353"/>
        <w:gridCol w:w="1132"/>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Closing Balance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commissions, the principal costs incurred to obtain a contract, are earned when the contract is executed. Management has capitalized these costs and amortized the commission expense over time in accordance with the related contract's term. For the nine months ended September 30, 2025 and 2024, commission expenses were $466,951 and $193,995, respectively. Certain commission expenses are not capitalized and are instead directly expensed.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Capitalized commissions at September 30, 2025 and December 31, 2024 were $52,695 and $31,504, respectively, and are included within prepaid expenses and other current assets on the condensed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costs to obtain a contract activity during the three and nine months ended September 30, 2025:</w:t>
      </w:r>
    </w:p>
    <w:p>
      <w:pPr>
        <w:pStyle w:val="TextBody"/>
        <w:bidi w:val="0"/>
        <w:jc w:val="both"/>
        <w:rPr/>
      </w:pPr>
      <w:r>
        <w:rPr/>
        <w:t> </w:t>
      </w:r>
    </w:p>
    <w:tbl>
      <w:tblPr>
        <w:tblW w:w="4655" w:type="dxa"/>
        <w:jc w:val="left"/>
        <w:tblInd w:w="0" w:type="dxa"/>
        <w:tblLayout w:type="fixed"/>
        <w:tblCellMar>
          <w:top w:w="28" w:type="dxa"/>
          <w:left w:w="28" w:type="dxa"/>
          <w:bottom w:w="28" w:type="dxa"/>
          <w:right w:w="28" w:type="dxa"/>
        </w:tblCellMar>
      </w:tblPr>
      <w:tblGrid>
        <w:gridCol w:w="3171"/>
        <w:gridCol w:w="146"/>
        <w:gridCol w:w="211"/>
        <w:gridCol w:w="736"/>
        <w:gridCol w:w="3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costs to obtain a contract activity during the three and nine months ended September 30, 2024:</w:t>
      </w:r>
    </w:p>
    <w:p>
      <w:pPr>
        <w:pStyle w:val="TextBody"/>
        <w:bidi w:val="0"/>
        <w:jc w:val="left"/>
        <w:rPr/>
      </w:pPr>
      <w:r>
        <w:rPr/>
        <w:t> </w:t>
      </w:r>
    </w:p>
    <w:tbl>
      <w:tblPr>
        <w:tblW w:w="4855" w:type="dxa"/>
        <w:jc w:val="left"/>
        <w:tblInd w:w="0" w:type="dxa"/>
        <w:tblLayout w:type="fixed"/>
        <w:tblCellMar>
          <w:top w:w="28" w:type="dxa"/>
          <w:left w:w="28" w:type="dxa"/>
          <w:bottom w:w="28" w:type="dxa"/>
          <w:right w:w="28" w:type="dxa"/>
        </w:tblCellMar>
      </w:tblPr>
      <w:tblGrid>
        <w:gridCol w:w="3171"/>
        <w:gridCol w:w="346"/>
        <w:gridCol w:w="211"/>
        <w:gridCol w:w="736"/>
        <w:gridCol w:w="391"/>
      </w:tblGrid>
      <w:tr>
        <w:trPr/>
        <w:tc>
          <w:tcPr>
            <w:tcW w:w="3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September 30,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September 30, 2025 and the year ended December 31, 2024.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ASC 820 </w:t>
      </w:r>
      <w:r>
        <w:rPr>
          <w:rFonts w:ascii="Times New Roman" w:hAnsi="Times New Roman"/>
          <w:i/>
          <w:color w:val="000000"/>
          <w:sz w:val="20"/>
        </w:rPr>
        <w:t>Fair Value Measurements and Disclosures</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w:t>
      </w:r>
      <w:r>
        <w:rPr>
          <w:rFonts w:ascii="Times New Roman" w:hAnsi="Times New Roman"/>
          <w:color w:val="212529"/>
          <w:sz w:val="20"/>
        </w:rPr>
        <w:t>Private Placement Convertible Notes, Private Placement Warrants</w:t>
      </w:r>
      <w:r>
        <w:rPr>
          <w:rFonts w:ascii="Times New Roman" w:hAnsi="Times New Roman"/>
          <w:color w:val="000000"/>
          <w:sz w:val="20"/>
        </w:rPr>
        <w:t xml:space="preserve"> and Goodwill and Definite-lived intangible assets recognized as part of acquisitions, represent Level 3 measurements.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September 30, 2025 and December 31, 2024, and indicates the fair value hierarchy of the valuation inputs the Company utilized to determine such fair value:</w:t>
      </w:r>
    </w:p>
    <w:p>
      <w:pPr>
        <w:pStyle w:val="TextBody"/>
        <w:bidi w:val="0"/>
        <w:jc w:val="both"/>
        <w:rPr/>
      </w:pPr>
      <w:r>
        <w:rPr/>
        <w:t> </w:t>
      </w:r>
    </w:p>
    <w:tbl>
      <w:tblPr>
        <w:tblW w:w="8902" w:type="dxa"/>
        <w:jc w:val="left"/>
        <w:tblInd w:w="0" w:type="dxa"/>
        <w:tblLayout w:type="fixed"/>
        <w:tblCellMar>
          <w:top w:w="28" w:type="dxa"/>
          <w:left w:w="28" w:type="dxa"/>
          <w:bottom w:w="28" w:type="dxa"/>
          <w:right w:w="28" w:type="dxa"/>
        </w:tblCellMar>
      </w:tblPr>
      <w:tblGrid>
        <w:gridCol w:w="4336"/>
        <w:gridCol w:w="146"/>
        <w:gridCol w:w="586"/>
        <w:gridCol w:w="146"/>
        <w:gridCol w:w="1771"/>
        <w:gridCol w:w="146"/>
        <w:gridCol w:w="177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Definite-lived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$3,903,320</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Definite-lived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$8,332,096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$3,883,853</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 Vidello (</w:t>
            </w:r>
            <w:r>
              <w:rPr>
                <w:rFonts w:ascii="Times New Roman" w:hAnsi="Times New Roman"/>
                <w:i/>
                <w:color w:val="000000"/>
                <w:sz w:val="20"/>
              </w:rPr>
              <w:t>Note 4</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$18,972,475</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Earnout liability (</w:t>
            </w:r>
            <w:r>
              <w:rPr>
                <w:rFonts w:ascii="Times New Roman" w:hAnsi="Times New Roman"/>
                <w:i/>
                <w:color w:val="000000"/>
                <w:sz w:val="20"/>
              </w:rPr>
              <w:t>Note 4</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Yorkville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$3,143,000</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$432,000</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Certain assets measured at the acquisition date.</w:t>
      </w:r>
    </w:p>
    <w:p>
      <w:pPr>
        <w:pStyle w:val="TextBody"/>
        <w:bidi w:val="0"/>
        <w:jc w:val="both"/>
        <w:rPr>
          <w:rFonts w:ascii="Times New Roman" w:hAnsi="Times New Roman"/>
          <w:color w:val="000000"/>
          <w:sz w:val="20"/>
        </w:rPr>
      </w:pPr>
      <w:r>
        <w:rPr>
          <w:rFonts w:ascii="Times New Roman" w:hAnsi="Times New Roman"/>
          <w:color w:val="000000"/>
          <w:sz w:val="20"/>
        </w:rPr>
        <w:t>** Measured at period-end.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assumed Public Warrants in the Merger, exercisable into 23,000 shares of Common A Common Stock, which were outstanding as of September 30, 2025 and December 31, 2024. The fair values of the Public Warrants are measured based on the listed market price of such warrants through September 30, 2025. See </w:t>
      </w:r>
      <w:r>
        <w:rPr>
          <w:rFonts w:ascii="Times New Roman" w:hAnsi="Times New Roman"/>
          <w:i/>
          <w:color w:val="000000"/>
          <w:sz w:val="20"/>
        </w:rPr>
        <w:t xml:space="preserve">Note 14 - Warrant Liabilities </w:t>
      </w:r>
      <w:r>
        <w:rPr>
          <w:rFonts w:ascii="Times New Roman" w:hAnsi="Times New Roman"/>
          <w:color w:val="000000"/>
          <w:sz w:val="20"/>
        </w:rPr>
        <w:t>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nine months ended, September 30, 2025, the Company recognized a gain of approximately $1,633 resulting from changes in the fair value of the derivative warrant liabilities, presented as change in fair value of warrant liabilities - related party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changes in the fair value of the Public Warrants liability which are Level 1 financial liabilities that are measured at fair value on a recurring basis:</w:t>
      </w:r>
    </w:p>
    <w:p>
      <w:pPr>
        <w:pStyle w:val="TextBody"/>
        <w:bidi w:val="0"/>
        <w:jc w:val="both"/>
        <w:rPr/>
      </w:pPr>
      <w:r>
        <w:rPr/>
        <w:t> </w:t>
      </w:r>
    </w:p>
    <w:tbl>
      <w:tblPr>
        <w:tblW w:w="4018" w:type="dxa"/>
        <w:jc w:val="left"/>
        <w:tblInd w:w="0" w:type="dxa"/>
        <w:tblLayout w:type="fixed"/>
        <w:tblCellMar>
          <w:top w:w="28" w:type="dxa"/>
          <w:left w:w="28" w:type="dxa"/>
          <w:bottom w:w="28" w:type="dxa"/>
          <w:right w:w="28" w:type="dxa"/>
        </w:tblCellMar>
      </w:tblPr>
      <w:tblGrid>
        <w:gridCol w:w="2641"/>
        <w:gridCol w:w="146"/>
        <w:gridCol w:w="255"/>
        <w:gridCol w:w="765"/>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GEM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hAnsi="Times New Roman"/>
          <w:i/>
          <w:color w:val="000000"/>
          <w:sz w:val="20"/>
        </w:rPr>
        <w:t>Note 14 - Warrant Liabilities</w:t>
      </w:r>
      <w:r>
        <w:rPr>
          <w:rFonts w:ascii="Times New Roman" w:hAnsi="Times New Roman"/>
          <w:color w:val="000000"/>
          <w:sz w:val="20"/>
        </w:rPr>
        <w:t xml:space="preserve"> for further details.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nine months ended, September 30, 2025, the Company recognized a gain of approximately $13,000, resulting from changes in the fair value of the derivative warrant liabilities, presented as change in fair value of warrant liabilities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changes in the fair value of the GEM Warrants liability which are Level 3 financial liabilities that are measured at fair value on a recurring basis:</w:t>
      </w:r>
    </w:p>
    <w:p>
      <w:pPr>
        <w:pStyle w:val="TextBody"/>
        <w:bidi w:val="0"/>
        <w:jc w:val="both"/>
        <w:rPr/>
      </w:pPr>
      <w:r>
        <w:rPr/>
        <w:t> </w:t>
      </w:r>
    </w:p>
    <w:tbl>
      <w:tblPr>
        <w:tblW w:w="4018" w:type="dxa"/>
        <w:jc w:val="left"/>
        <w:tblInd w:w="0" w:type="dxa"/>
        <w:tblLayout w:type="fixed"/>
        <w:tblCellMar>
          <w:top w:w="28" w:type="dxa"/>
          <w:left w:w="28" w:type="dxa"/>
          <w:bottom w:w="28" w:type="dxa"/>
          <w:right w:w="28" w:type="dxa"/>
        </w:tblCellMar>
      </w:tblPr>
      <w:tblGrid>
        <w:gridCol w:w="2641"/>
        <w:gridCol w:w="146"/>
        <w:gridCol w:w="242"/>
        <w:gridCol w:w="778"/>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(i.e., share price, term, volatility, risk-free rate, and probability of optional redemption). Refer to </w:t>
      </w:r>
      <w:r>
        <w:rPr>
          <w:rFonts w:ascii="Times New Roman" w:hAnsi="Times New Roman"/>
          <w:i/>
          <w:color w:val="000000"/>
          <w:sz w:val="20"/>
        </w:rPr>
        <w:t>Note 13 - Debt</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nine months ended, September 30, 2025, the Company recognized a loss of approximately $249,000 resulting from changes in the fair value of the Yorkville convertible notes, presented as change in fair value of convertible promissory notes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changes in the fair value of the Yorkville convertible notes which is a Level 3 financial liability measured at fair value on a recurring basis:</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4156"/>
        <w:gridCol w:w="146"/>
        <w:gridCol w:w="211"/>
        <w:gridCol w:w="99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Yorkville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of the embedded put options, relating to the Convertible Note to CP BF issued on September 23, 2024</w:t>
      </w:r>
      <w:r>
        <w:rPr>
          <w:rFonts w:ascii="Times New Roman" w:hAnsi="Times New Roman"/>
          <w:i/>
          <w:color w:val="000000"/>
          <w:sz w:val="20"/>
        </w:rPr>
        <w:t>,</w:t>
      </w:r>
      <w:r>
        <w:rPr>
          <w:rFonts w:ascii="Times New Roman" w:hAnsi="Times New Roman"/>
          <w:color w:val="000000"/>
          <w:sz w:val="20"/>
        </w:rPr>
        <w:t xml:space="preserve"> was determined using a Black Scholes option pricing model. 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The bifurcated embedded derivative net asset was $9,000 as of September 30, 2025. Refer to </w:t>
      </w:r>
      <w:r>
        <w:rPr>
          <w:rFonts w:ascii="Times New Roman" w:hAnsi="Times New Roman"/>
          <w:i/>
          <w:color w:val="000000"/>
          <w:sz w:val="20"/>
        </w:rPr>
        <w:t>Note 13 - Debt</w:t>
      </w:r>
      <w:r>
        <w:rPr>
          <w:rFonts w:ascii="Times New Roman" w:hAnsi="Times New Roman"/>
          <w:color w:val="000000"/>
          <w:sz w:val="20"/>
        </w:rPr>
        <w:t xml:space="preserve"> for further details.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the changes in the fair value of the bifurcated embedded derivative asset for the nine months ended September 30, 2025, relating to the Convertible Note to CP BF issued on September 23, 2024, which are Level 3 financial liabilities that are measured at fair value on a recurring basis:</w:t>
      </w:r>
    </w:p>
    <w:p>
      <w:pPr>
        <w:pStyle w:val="TextBody"/>
        <w:bidi w:val="0"/>
        <w:jc w:val="both"/>
        <w:rPr/>
      </w:pPr>
      <w:r>
        <w:rPr/>
        <w:t> </w:t>
      </w:r>
    </w:p>
    <w:tbl>
      <w:tblPr>
        <w:tblW w:w="4663" w:type="dxa"/>
        <w:jc w:val="left"/>
        <w:tblInd w:w="0" w:type="dxa"/>
        <w:tblLayout w:type="fixed"/>
        <w:tblCellMar>
          <w:top w:w="28" w:type="dxa"/>
          <w:left w:w="28" w:type="dxa"/>
          <w:bottom w:w="28" w:type="dxa"/>
          <w:right w:w="28" w:type="dxa"/>
        </w:tblCellMar>
      </w:tblPr>
      <w:tblGrid>
        <w:gridCol w:w="2641"/>
        <w:gridCol w:w="146"/>
        <w:gridCol w:w="369"/>
        <w:gridCol w:w="1296"/>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CP BF Convertible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Notes (Agile)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July 22, 2024, September 13, 2024, December 12, 2024, March 31, 2025 and June 12, 2025, the Company entered into term loan promissory note agreements with Agile Lending, LLC, and Agile Capital Funding, LLC, as the collateral agent, as discussed further in </w:t>
      </w:r>
      <w:r>
        <w:rPr>
          <w:rFonts w:ascii="Times New Roman" w:hAnsi="Times New Roman"/>
          <w:i/>
          <w:color w:val="000000"/>
          <w:sz w:val="20"/>
        </w:rPr>
        <w:t>Note 13 - Debt</w:t>
      </w:r>
      <w:r>
        <w:rPr>
          <w:rFonts w:ascii="Times New Roman" w:hAnsi="Times New Roman"/>
          <w:color w:val="000000"/>
          <w:sz w:val="20"/>
        </w:rPr>
        <w:t xml:space="preserve"> of the notes to the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Fair value measurements discussed herein are based upon certain market assumptions and pertinent information available to management as of September 30, 2025. The Company classified the Agile Term Notes as a Level 3 fair value measurement and used a discounted cash flow model to calculate the fair values as of September 30, 2025 and December 31, 2024, respectively. Key inputs for the valuation are summarized below. The discounted cash flow model uses inputs such as the contractual term of the note and a market participant interest 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range of key inputs at issuance of the Agile term notes issued in 2025 and for the period ended September 30, 2025 were as follows:</w:t>
      </w:r>
    </w:p>
    <w:p>
      <w:pPr>
        <w:pStyle w:val="TextBody"/>
        <w:bidi w:val="0"/>
        <w:jc w:val="left"/>
        <w:rPr/>
      </w:pPr>
      <w:r>
        <w:rPr/>
        <w:t> </w:t>
      </w:r>
    </w:p>
    <w:tbl>
      <w:tblPr>
        <w:tblW w:w="9440" w:type="dxa"/>
        <w:jc w:val="left"/>
        <w:tblInd w:w="0" w:type="dxa"/>
        <w:tblLayout w:type="fixed"/>
        <w:tblCellMar>
          <w:top w:w="28" w:type="dxa"/>
          <w:left w:w="28" w:type="dxa"/>
          <w:bottom w:w="28" w:type="dxa"/>
          <w:right w:w="28" w:type="dxa"/>
        </w:tblCellMar>
      </w:tblPr>
      <w:tblGrid>
        <w:gridCol w:w="2071"/>
        <w:gridCol w:w="146"/>
        <w:gridCol w:w="326"/>
        <w:gridCol w:w="1279"/>
        <w:gridCol w:w="272"/>
        <w:gridCol w:w="146"/>
        <w:gridCol w:w="261"/>
        <w:gridCol w:w="1029"/>
        <w:gridCol w:w="271"/>
        <w:gridCol w:w="146"/>
        <w:gridCol w:w="326"/>
        <w:gridCol w:w="1279"/>
        <w:gridCol w:w="271"/>
        <w:gridCol w:w="146"/>
        <w:gridCol w:w="235"/>
        <w:gridCol w:w="920"/>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2025 Agile Note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2025 Agile Note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12,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13 - Debt</w:t>
      </w:r>
      <w:r>
        <w:rPr>
          <w:rFonts w:ascii="Times New Roman" w:hAnsi="Times New Roman"/>
          <w:color w:val="000000"/>
          <w:sz w:val="20"/>
        </w:rPr>
        <w:t>, for a summary of the changes in the fair value of the Agile term notes which are Level 3 financial liabilities measured at fair value on a recurring basis.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(1800 Diagonal)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August 16, 2024, September 24, 2024, December 10, 2024, February 7, 2025, April 17, 2025, May 9, 2025, July 23, 2025 and September 12, 2025 the Company entered into convertible promissory notes with 1800 Diagonal Lending, LLC, as discussed further in </w:t>
      </w:r>
      <w:r>
        <w:rPr>
          <w:rFonts w:ascii="Times New Roman" w:hAnsi="Times New Roman"/>
          <w:i/>
          <w:color w:val="000000"/>
          <w:sz w:val="20"/>
        </w:rPr>
        <w:t>Note 13 - Debt</w:t>
      </w:r>
      <w:r>
        <w:rPr>
          <w:rFonts w:ascii="Times New Roman" w:hAnsi="Times New Roman"/>
          <w:color w:val="000000"/>
          <w:sz w:val="20"/>
        </w:rPr>
        <w:t xml:space="preserve"> of the notes to the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Fair value measurements discussed herein are based upon certain market assumptions and pertinent information available to management as of September 30, 2025. The Company classified these notes as Level 3 financial liabilities and used the Black-Scholes option pricing model to calculate the fair values as of September 12, 2025, July 23, 2025, May 9, 2025, and April 17, 2025. Key inputs for the simulation are summarized below. The Black-Scholes simulation uses inputs such as the stock price, volatility, the contractual term of the note, risk free interest rates and dividend yields.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range of key inputs for the Black-Scholes simulations at issuance of the 1800 Diagonal convertible notes issued in 2025 and for the period ended September 30, 2025, were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8"/>
        <w:gridCol w:w="146"/>
        <w:gridCol w:w="1093"/>
        <w:gridCol w:w="146"/>
        <w:gridCol w:w="784"/>
        <w:gridCol w:w="146"/>
        <w:gridCol w:w="146"/>
        <w:gridCol w:w="1093"/>
        <w:gridCol w:w="146"/>
        <w:gridCol w:w="679"/>
        <w:gridCol w:w="146"/>
        <w:gridCol w:w="1093"/>
        <w:gridCol w:w="146"/>
        <w:gridCol w:w="704"/>
        <w:gridCol w:w="146"/>
        <w:gridCol w:w="1093"/>
        <w:gridCol w:w="146"/>
        <w:gridCol w:w="1144"/>
      </w:tblGrid>
      <w:tr>
        <w:trPr/>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April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May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July 1800 Diagonal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1800 Diagonal Note</w:t>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April 17,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May 9,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July 23,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12, 2025</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w:t>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0.77</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w:t>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Volatility</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Maturity probability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w:t>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Default probability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utilized historical equity volatility in measurement of the fair value of the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13 - Debt</w:t>
      </w:r>
      <w:r>
        <w:rPr>
          <w:rFonts w:ascii="Times New Roman" w:hAnsi="Times New Roman"/>
          <w:color w:val="000000"/>
          <w:sz w:val="20"/>
        </w:rPr>
        <w:t>, for further description and a summary of the changes in the fair value of the 1800 Diagonal convertible notes which are Level 3 financial liabilities measured at fair value on a recurring basis.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 Offering (3i, LP)</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common stock, par value $0.0001, of the Company (the “Common Stock”) (the shares of Common Stock issuable pursuant to the terms of the Notes, including, without limitation, upon conversion or otherwise, collectively, the “Conversion Shares”), in accordance with the terms of the Notes. The Company issued an initial Note (the "June 3i Note") in the aggregate original principal amount of $2,200,000 against the aggregate maximum under the Purchase Agreement with an initial conversion price of $2.50 per share and a warrant to initially acquire up to 67,124 shares of Common Stock (the “Buyer Warrants”) (as exercised, collectively, the “Warrant Shares”) at an exercise price of $2.50 per share. In connection with the Private Placement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determined that the Private Placement Convertible Note is eligible for the fair value option election in accordance with ASC 825-10-50-28, and made such election to account for the Private Placement Convertible Note at fair value. The Company estimated the fair value of the Private Placement Convertible Note at issuance using a Monte Carlo simulation, using the following key inputs: principal on the Private Placement Convertible Note of $2,200,000; remaining term of 1.0 years; a market interest rate of 10%; a risk-free rate of 3.88%; equity volatility of 180.0%; and probability of default of 28.7%.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19, 2025, the parties held an additional closing pursuant to the terms of the Purchase Agreement (the “Second Closing”). The Company issued an additional note (the "August 2025 Note") in the original principal amount of $2,200,000, with an initial conversion price equal to $3.4891 per share and issuance date of August 19, 2025 (the Additional Note and the Initial Note, are collectively referred to herein as the “Notes”), and Additional Warrants to purchase up to 126,107 shares of Common Stock, at an initial exercise price equal to $3.4891 per share (the “Additional Warrants and the Initial Buyer Warrants, are collectively referred to herein as the “Buyer Warrants”), in the Second Closing. The Additional Note matures on August 19, 2026. Other than the maturity date and the conversion and exercise price of the Additional Note and Additional Warrants, respectively, the Additional Note and Additional Warrants have the same terms as those issued on the Initial Closing Date.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determined that the August 2025 Note eligible for the fair value option election in accordance with ASC 825-10-50-28, and made such election to account for the August 2025 Note at fair value. The Company estimated the fair value of the Private Placement Convertible Note at issuance using a Monte Carlo simulation, using the following key inputs: principal on the Private Placement Convertible Note of $2,200,000; remaining term of 1.0 years; a market interest rate of 10%; a risk-free rate of 3.8%; equity volatility of 180.5%; and probability of default of 13.1%.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13 - Debt</w:t>
      </w:r>
      <w:r>
        <w:rPr>
          <w:rFonts w:ascii="Times New Roman" w:hAnsi="Times New Roman"/>
          <w:color w:val="000000"/>
          <w:sz w:val="20"/>
        </w:rPr>
        <w:t xml:space="preserve">, for a summary of the changes in the fair value of the Private Placement Convertible Notes which are Level 3 financial liabilities measured at fair value on a recurring basis, and to </w:t>
      </w:r>
      <w:r>
        <w:rPr>
          <w:rFonts w:ascii="Times New Roman" w:hAnsi="Times New Roman"/>
          <w:i/>
          <w:color w:val="000000"/>
          <w:sz w:val="20"/>
        </w:rPr>
        <w:t>Note 14 - Warrant Liabilities</w:t>
      </w:r>
      <w:r>
        <w:rPr>
          <w:rFonts w:ascii="Times New Roman" w:hAnsi="Times New Roman"/>
          <w:color w:val="000000"/>
          <w:sz w:val="20"/>
        </w:rPr>
        <w:t xml:space="preserve"> for a description of the warrants issued in connection with the Private Placement Offering,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Warrant Liability - Private Placement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Private Placement Warrants were determined utilizing a Monte Carlo simulation considering all relevant assumptions current at the date of issuance (i.e., share price, exercise price, term, volatility, risk-free rate, probability of dilutive term of three years, and expected time to conversion). Refer to </w:t>
      </w:r>
      <w:r>
        <w:rPr>
          <w:rFonts w:ascii="Times New Roman" w:hAnsi="Times New Roman"/>
          <w:i/>
          <w:color w:val="000000"/>
          <w:sz w:val="20"/>
        </w:rPr>
        <w:t>Note 14 - Warrant Liabilities</w:t>
      </w:r>
      <w:r>
        <w:rPr>
          <w:rFonts w:ascii="Times New Roman" w:hAnsi="Times New Roman"/>
          <w:color w:val="000000"/>
          <w:sz w:val="20"/>
        </w:rPr>
        <w:t xml:space="preserve"> for further details.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three and nine months ended, September 30, 2025, the Company recognized losses on issuance of $356,000 and $717,000, presented within loss on private placement issuance in the accompanying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a summary of the ranges of inputs to and the changes in the fair value of the Private Placement Warrant liability which are Level 3 financial liabilities that are measured at fair value on a recurring basis:</w:t>
      </w:r>
    </w:p>
    <w:p>
      <w:pPr>
        <w:pStyle w:val="TextBody"/>
        <w:bidi w:val="0"/>
        <w:jc w:val="both"/>
        <w:rPr/>
      </w:pPr>
      <w:r>
        <w:rPr/>
        <w:t> </w:t>
      </w:r>
    </w:p>
    <w:tbl>
      <w:tblPr>
        <w:tblW w:w="4303" w:type="dxa"/>
        <w:jc w:val="left"/>
        <w:tblInd w:w="0" w:type="dxa"/>
        <w:tblLayout w:type="fixed"/>
        <w:tblCellMar>
          <w:top w:w="28" w:type="dxa"/>
          <w:left w:w="28" w:type="dxa"/>
          <w:bottom w:w="28" w:type="dxa"/>
          <w:right w:w="28" w:type="dxa"/>
        </w:tblCellMar>
      </w:tblPr>
      <w:tblGrid>
        <w:gridCol w:w="2071"/>
        <w:gridCol w:w="146"/>
        <w:gridCol w:w="551"/>
        <w:gridCol w:w="1219"/>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2.75 - 4.89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 - 3.7%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 - 128%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3998" w:type="dxa"/>
        <w:jc w:val="left"/>
        <w:tblInd w:w="0" w:type="dxa"/>
        <w:tblLayout w:type="fixed"/>
        <w:tblCellMar>
          <w:top w:w="28" w:type="dxa"/>
          <w:left w:w="28" w:type="dxa"/>
          <w:bottom w:w="28" w:type="dxa"/>
          <w:right w:w="28" w:type="dxa"/>
        </w:tblCellMar>
      </w:tblPr>
      <w:tblGrid>
        <w:gridCol w:w="2641"/>
        <w:gridCol w:w="146"/>
        <w:gridCol w:w="217"/>
        <w:gridCol w:w="803"/>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Property and Equipment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consisted of the following at the dates indicated:</w:t>
      </w:r>
    </w:p>
    <w:p>
      <w:pPr>
        <w:pStyle w:val="TextBody"/>
        <w:bidi w:val="0"/>
        <w:jc w:val="left"/>
        <w:rPr/>
      </w:pPr>
      <w:r>
        <w:rPr/>
        <w:t> </w:t>
      </w:r>
    </w:p>
    <w:tbl>
      <w:tblPr>
        <w:tblW w:w="6850" w:type="dxa"/>
        <w:jc w:val="left"/>
        <w:tblInd w:w="0" w:type="dxa"/>
        <w:tblLayout w:type="fixed"/>
        <w:tblCellMar>
          <w:top w:w="28" w:type="dxa"/>
          <w:left w:w="28" w:type="dxa"/>
          <w:bottom w:w="28" w:type="dxa"/>
          <w:right w:w="28" w:type="dxa"/>
        </w:tblCellMar>
      </w:tblPr>
      <w:tblGrid>
        <w:gridCol w:w="2686"/>
        <w:gridCol w:w="146"/>
        <w:gridCol w:w="394"/>
        <w:gridCol w:w="1376"/>
        <w:gridCol w:w="166"/>
        <w:gridCol w:w="146"/>
        <w:gridCol w:w="384"/>
        <w:gridCol w:w="134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nine months ended September 30, 2025 and 2024 was $3,319 and $2,825 respectively.</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8155" w:type="dxa"/>
        <w:jc w:val="left"/>
        <w:tblInd w:w="0" w:type="dxa"/>
        <w:tblLayout w:type="fixed"/>
        <w:tblCellMar>
          <w:top w:w="28" w:type="dxa"/>
          <w:left w:w="28" w:type="dxa"/>
          <w:bottom w:w="28" w:type="dxa"/>
          <w:right w:w="28" w:type="dxa"/>
        </w:tblCellMar>
      </w:tblPr>
      <w:tblGrid>
        <w:gridCol w:w="3931"/>
        <w:gridCol w:w="146"/>
        <w:gridCol w:w="374"/>
        <w:gridCol w:w="1396"/>
        <w:gridCol w:w="146"/>
        <w:gridCol w:w="146"/>
        <w:gridCol w:w="367"/>
        <w:gridCol w:w="1358"/>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130,345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consulting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76,767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advertising and marketing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data license and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Goodwill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three and nine months ended September 30, 2025:</w:t>
      </w:r>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2656"/>
        <w:gridCol w:w="360"/>
        <w:gridCol w:w="1590"/>
        <w:gridCol w:w="146"/>
        <w:gridCol w:w="211"/>
        <w:gridCol w:w="931"/>
        <w:gridCol w:w="146"/>
        <w:gridCol w:w="211"/>
        <w:gridCol w:w="1036"/>
        <w:gridCol w:w="146"/>
        <w:gridCol w:w="146"/>
        <w:gridCol w:w="211"/>
        <w:gridCol w:w="103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2024</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Additions to goodwill (</w:t>
            </w:r>
            <w:r>
              <w:rPr>
                <w:rFonts w:ascii="Times New Roman" w:hAnsi="Times New Roman"/>
                <w:i/>
                <w:color w:val="000000"/>
                <w:sz w:val="20"/>
              </w:rPr>
              <w:t>Note 4</w:t>
            </w:r>
            <w:r>
              <w:rPr>
                <w:rFonts w:ascii="Times New Roman" w:hAnsi="Times New Roman"/>
                <w:color w:val="000000"/>
                <w:sz w:val="20"/>
              </w:rPr>
              <w:t>)</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September 30, 2025</w:t>
            </w:r>
          </w:p>
        </w:tc>
        <w:tc>
          <w:tcPr>
            <w:tcW w:w="3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2,171,526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3,019,246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16,800,949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21,991,721</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identify our reporting units in accordance with the FASB ASC Subtopic 280 </w:t>
      </w:r>
      <w:r>
        <w:rPr>
          <w:rFonts w:ascii="Times New Roman" w:hAnsi="Times New Roman"/>
          <w:i/>
          <w:color w:val="000000"/>
          <w:sz w:val="20"/>
        </w:rPr>
        <w:t>Segment Reporting</w:t>
      </w:r>
      <w:r>
        <w:rPr>
          <w:rFonts w:ascii="Times New Roman" w:hAnsi="Times New Roman"/>
          <w:color w:val="000000"/>
          <w:sz w:val="20"/>
        </w:rPr>
        <w:t>. The carrying value and fair value for intangible assets and goodwill for a reporting unit are calculated based on key assumptions and valuation methodologies. The discounted cash flow methodology is a widely accepted valuation technique utilized by market participants in the transaction evaluation process and has been applied consistently. We also consider our market capitalization, as compared to the aggregate fair values of our reporting units, to assess the reasonableness of our estimates pursuant to the discounted cash flow methodology. Management further supports its conclusions by assessing a combination of an income valuation methodology, comprising a discounted cash flow analysis and market valuation methodologies, comprising the guideline public company and guideline transaction methods. The estimates and assumptions made in assessing the fair value of our reporting units and the valuation of the underlying assets and liabilities are inherently subject to significant uncertainties related to future sales, gross margins, and advertising and marketing expenses, which can be impacted by increases in competition, changing consumer preferences, technology development expenses, technical advances, and inflation. The discount rate assumption may be influenced by such factors as changes in interest rates and rates of inflation, which can have an impact on the determination of fair value. If these assumptions are adversely affected, we may be required to record additional impairment charges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September 30, 2025, as the Company has three operating segments which were deemed to be its reporting units, goodwill is allocated to each reporting unit and the carrying value of each reporting unit is determined based on the present value of the reporting unit's specific discounted cash flows for purposes of evaluating goodwill impairment. As of December 31, 2024, the date of the last goodwill impairment analysis, the Banzai Operating Co. reporting unit had a negative carrying value, and no impairment to goodwill was identified as of December 31, 2024. As of December 31, 2024, the OpenReel reporting unit had a carrying value that exceeded the fair value of the reporting unit. As such an impairment to goodwill $2.7 million was identified as of December 31,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Accrued Expenses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600" w:type="dxa"/>
        <w:jc w:val="left"/>
        <w:tblInd w:w="0" w:type="dxa"/>
        <w:tblLayout w:type="fixed"/>
        <w:tblCellMar>
          <w:top w:w="28" w:type="dxa"/>
          <w:left w:w="28" w:type="dxa"/>
          <w:bottom w:w="28" w:type="dxa"/>
          <w:right w:w="28" w:type="dxa"/>
        </w:tblCellMar>
      </w:tblPr>
      <w:tblGrid>
        <w:gridCol w:w="4376"/>
        <w:gridCol w:w="146"/>
        <w:gridCol w:w="327"/>
        <w:gridCol w:w="1443"/>
        <w:gridCol w:w="146"/>
        <w:gridCol w:w="146"/>
        <w:gridCol w:w="318"/>
        <w:gridCol w:w="1407"/>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2,419,829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315,764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173,163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3,891,018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condensed consolidated statement of operations, reflect amounts not recognized through the deferred revenue process, and which have been determined to be insignificant. For the nine months ended September 30, 2025 and the year ended December 31, 2024, the Company recognized $3,612,072 and $1,214,096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39"/>
        <w:gridCol w:w="146"/>
        <w:gridCol w:w="301"/>
        <w:gridCol w:w="1417"/>
        <w:gridCol w:w="166"/>
        <w:gridCol w:w="146"/>
        <w:gridCol w:w="293"/>
        <w:gridCol w:w="1383"/>
        <w:gridCol w:w="314"/>
      </w:tblGrid>
      <w:tr>
        <w:trPr/>
        <w:tc>
          <w:tcPr>
            <w:tcW w:w="6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1,214,096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4,362,730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(1,214,096</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(3,091,333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OpenReel deferred revenue - short-term - previously recognized at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2,663,230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Vidello deferred revenue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short-term,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3,934,627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OpenReel deferred revenue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117,643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short-term and long-term,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4,052,270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200,000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the Company has issued an aggregate of 19,000 shares of Class A Common Stock to GEM in lieu of monthly payment obligations and during the three and nine months ended September 30, 2025, the Company paid an aggregate of $215,057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 (Yorkville)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16 - Equity</w:t>
      </w:r>
      <w:r>
        <w:rPr>
          <w:rFonts w:ascii="Times New Roman" w:hAnsi="Times New Roman"/>
          <w:color w:val="000000"/>
          <w:sz w:val="20"/>
        </w:rPr>
        <w:t xml:space="preserve"> for further details),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 from Yorkville.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Promissory Notes for a period commencing on the date of the closing of the offering and ending on the date that is 90 days thereafter. Under the Original Debt Repayment Agreement, the Company and Yorkville also agreed to extend the maturity date of the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Promissory Notes after a period of 60 days following the closing of the offering. Under the Amended Debt Repayment Agreement, the Company and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Yorkville also agreed to extend the maturity date of the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$750,000 on May 31, 2024 (the “Repayment Date”), and issued an Advance Notice for the purchase of 1,200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$20.00,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September 30, 2025,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16</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per share fell below the then in effect Floor Price (as defined in the Standby Equity Purchase Agreement disclosure in </w:t>
      </w:r>
      <w:r>
        <w:rPr>
          <w:rFonts w:ascii="Times New Roman" w:hAnsi="Times New Roman"/>
          <w:i/>
          <w:color w:val="000000"/>
          <w:sz w:val="20"/>
        </w:rPr>
        <w:t>Note 16</w:t>
      </w:r>
      <w:r>
        <w:rPr>
          <w:rFonts w:ascii="Times New Roman" w:hAnsi="Times New Roman"/>
          <w:color w:val="000000"/>
          <w:sz w:val="20"/>
        </w:rPr>
        <w:t>) of $20.00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$2.94 per share of Common Stock, thus curing the Amortization Event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$2,000,000 of the full outstanding principal under the December Yorkville Convertible Note, respectively, was converted into 27,538 shares of Class A Common stock of the Company. During the year ended December 31, 2024, the full principal amount of $1,000,000 under the February Yorkville Promissory Note was converted into 2,891 Class A Common stock of the Company. During the year ended December 31, 2024, the full outstanding principal amount of $750,000 under the March Yorkville Promissory Note was converted into 14,986, Class A Common stock of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16 – Equity</w:t>
      </w:r>
      <w:r>
        <w:rPr>
          <w:rFonts w:ascii="Times New Roman" w:hAnsi="Times New Roman"/>
          <w:color w:val="000000"/>
          <w:sz w:val="20"/>
        </w:rPr>
        <w:t xml:space="preserve"> for further details), Yorkville agreed to advance to the Company, in exchange for a Convertible Promissory Note (the “January 2025 Yorkville Note”), a total principal amount of $3,500,000. The Company received net proceeds of $3,140,000 after a non-cash original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issue discount of $350,000, and $10,00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January 2025 Yorkville Note had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$20.00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September 30, 2025, the January 2025 Yorkville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entered into a Convertible Promissory Note (the “September 2025 Yorkville Note”) with Yorkville in principal amount of $2,000,000 (the “Original Principal Amount”) to the Company, to be used as an advance under the outstanding Standby Equity Purchase Agreement entered into on December 14, 2023 by the Company and the Investor. The Company received $890,000 from the Investor on that same date (“Advance #1), which reflects 50% of the Original Principal Amount, 10% discount and certain fees owed at such time. Upon the effectiveness of the registration statement on Form S-1, originally filed with the SEC on September 12, 2025 (File No. 333-290241) and the delivery of a closing statement, the Investor shall remit an amount equal to 50% of the remaining Original Principal Amount, or $1,000,000, less a discount equal to 10% of the Original Principal Amount, netted from the purchase price due and structured as a purchase discount (“Advance #2”).</w:t>
      </w:r>
    </w:p>
    <w:p>
      <w:pPr>
        <w:pStyle w:val="TextBody"/>
        <w:bidi w:val="0"/>
        <w:jc w:val="both"/>
        <w:rPr>
          <w:rFonts w:ascii="Times New Roman" w:hAnsi="Times New Roman"/>
          <w:sz w:val="20"/>
        </w:rPr>
      </w:pPr>
      <w:r>
        <w:rPr>
          <w:rFonts w:ascii="Times New Roman" w:hAnsi="Times New Roman"/>
          <w:color w:val="000000"/>
          <w:sz w:val="20"/>
        </w:rPr>
        <w:t>The September 2025 Yorkville Note was issued on September 16, 2025 and the maturity date of the September 2025 Yorkville Note is March 16, 2026, but may be extended at the option of the Company. Beginning on the 30</w:t>
      </w:r>
      <w:r>
        <w:rPr>
          <w:rFonts w:ascii="Times New Roman" w:hAnsi="Times New Roman"/>
          <w:color w:val="000000"/>
          <w:sz w:val="13"/>
        </w:rPr>
        <w:t>th</w:t>
      </w:r>
      <w:r>
        <w:rPr>
          <w:rFonts w:ascii="Times New Roman" w:hAnsi="Times New Roman"/>
          <w:color w:val="000000"/>
          <w:sz w:val="20"/>
        </w:rPr>
        <w:t xml:space="preserve"> day from the date of issuance,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$2.50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determined that the January 2025 Yorkville Note and September 2025 Yorkville Note were eligible for the fair value option election in accordance with ASC 825-10-50-28, and made such election to account for the January 2025 Yorkville Note and September 2025 Yorkville Note at fair value.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estimated the fair value of the January 2025 Yorkville Note at issuance of $3,402,000 using a Monte Carlo simulation, using the following key inputs: principal on the January 2025 Yorkville Note of $3,500,000; remaining term of .50 years; the fair value of the Company’s Class A common stock on the valuation date of $2.24 per share; a market interest rate of 8.7%; a risk-free rate of 4.27%; equity volatility of 224.0%; and the Payment Premium of 4%. Upon issuance, the Company recognized a loss of $252,000 representing the difference between issuance date fair value and the proceeds received net of the original issue discount of $3,150,000, which is included in loss on debt issuance on the accompanying condensed consolidated statement of operations. As of September 30, 2025, the January 2025 Yorkville Note was fully repaid.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estimated the fair value of the September 2025 Yorkville Note at issuance of $1,992,000 using a Monte Carlo simulation, using the following key inputs: principal on the September 2025 Yorkville Note of $2,000,000; remaining term of .50 years; the fair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value of the Company’s Class A common stock on the valuation date of $2.12 per share; a market interest rate of 11.8%; a risk-free rate of 3.81%; equity volatility of 128.0%; and the Payment Premium of 4%. Upon issuance, the Company recognized a loss of $192,000 representing the difference between issuance date fair value and the proceeds received net of the original issue discount, which is included in loss on debt issuance on the accompanying condensed consolidated statement of operations.</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the September 2025 Yorkville Note at September 30, 2025 using a Monte Carlo simulation, using the following key inputs: outstanding principal on the September 2025 Yorkville Note of approximately $2,000,000; remaining term of .46 years; the fair value of the Company’s Class A common stock on the valuation date of $2.94 per share; a market interest rate of 11.5%; a risk-free rate of 3.86%; equity volatility of 123.0%; and the Payment Premium of 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estimated the fair value of the January 2025 Yorkville Note at March 31, 2025 using a Monte Carlo simulation, using the following key inputs: outstanding principal on the Yorkville Note of approximately $1,695,000; remaining term of .33 years; the fair value of the Company’s Class A common stock on the valuation date of $11.20 per share; a market interest rate of 11.3%; a risk-free rate of 4.29%; equity volatility of 171.0%; and the Payment Premium of 4%. As of September 30, 2025, the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and nine months ended September 30, 2025, the Company recognized a loss of approximately $11,000 and $249,000, respectively, on the change in fair value of the September 2025 Yorkville Note and January 2025 Yorkville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and nine months ended September 30, 2024, the Company recorded a loss of $115,000 and $693,000, respectively, related to the change in fair value of the Yorkville Promissory Notes liability, respectively. As of September 30, 2024, the full outstanding balances of the notes issued to Yorkville have been converted into the Company's Class A Common stock and repaid.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Convertible notes - related party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effective interest rate for the Term Note was 16% for the three and nine months ended September 30, 2024. For the three and nine months ended September 30, 2024, interest expense on the Term Note totaled $264,235 and $851,175, respectively, comprised of $238,843 and $772,550, respectively, of contractual interest and $25,392 and $78,625, respectively, for the amortization of the discount. The effective interest rate for the CP BF Convertible Note and First Amendment Convertible Note was 16% for the three and nine months ended September 30, 2024. For the three and nine months ended September 30, 2024, interest expense on the Convertible Notes totaled $112,571 and $350,430, respectively, comprised of $104,314 and $325,818, respectively, of contractual interest and $8,257 and $24,612, respectively, for the amortization of the discount.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utilizes a combination of scenario-based methods and Black-Scholes option pricing models to determine the average share count outstanding at conversion and the simulated price per share for the Company as of the valuation date. Key inputs into these models included the timing and probability of the identified scenarios, and for Black-Scholes option pricing models used for notes that included a valuation cap, equity values, risk-free rate and volatility.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7,000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Subsequent changes in fair value of the feature will be recognized as a gain or loss in the Consolidated Statement of Operations. The fair value of the bifurcated derivative asset was estimated utilizing the with and without method which uses the probability weighted difference between the scenarios with the derivative and the plain vanilla maturity scenario without a derivative (See </w:t>
      </w:r>
      <w:r>
        <w:rPr>
          <w:rFonts w:ascii="Times New Roman" w:hAnsi="Times New Roman"/>
          <w:i/>
          <w:color w:val="000000"/>
          <w:sz w:val="20"/>
        </w:rPr>
        <w:t>Note 7</w:t>
      </w:r>
      <w:r>
        <w:rPr>
          <w:rFonts w:ascii="Times New Roman" w:hAnsi="Times New Roman"/>
          <w:color w:val="000000"/>
          <w:sz w:val="20"/>
        </w:rPr>
        <w:t xml:space="preserve"> - </w:t>
      </w:r>
      <w:r>
        <w:rPr>
          <w:rFonts w:ascii="Times New Roman" w:hAnsi="Times New Roman"/>
          <w:i/>
          <w:color w:val="000000"/>
          <w:sz w:val="20"/>
        </w:rPr>
        <w:t>Fair Value Measurements</w:t>
      </w:r>
      <w:r>
        <w:rPr>
          <w:rFonts w:ascii="Times New Roman" w:hAnsi="Times New Roman"/>
          <w:color w:val="000000"/>
          <w:sz w:val="20"/>
        </w:rPr>
        <w:t>). As of September 30, 2025, the fair value of the bifurcated derivatives was $9,000. The Company recorded a loss related to the change in fair value of the bifurcated derivatives of $54,000 for the nine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5,560 Class A Common Stock at the fixed conversion price per share of $38.90 in satisfaction of $216,284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26,085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CP BF Warrant can be exercised at an initial exercise price of $38.90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Joe Davy, agreed not to sell an aggregate of 231,114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nine months ended September 30, 2025, the Company paid a total of $2,840,677 which satisfied outstanding principal under the 2024 CP BF Convertible Note.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effective interest rate for the 2024 CP BF Convertible Note was approximately 15.4% for the three and nine months ended September 30, 2025. For the three and nine months ended September 30, 2025, interest expense on the 2024 CP BF Convertible Note totaled $299,719 and $958,406, respectively, consisting of $300,669 and $955,715, respectively, of contractual interest offset by $950 and $2,690, respectively, of amortization of the debt premium.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September 30, 2025:</w:t>
      </w:r>
    </w:p>
    <w:p>
      <w:pPr>
        <w:pStyle w:val="TextBody"/>
        <w:bidi w:val="0"/>
        <w:jc w:val="both"/>
        <w:rPr/>
      </w:pPr>
      <w:r>
        <w:rPr/>
        <w:t> </w:t>
      </w:r>
    </w:p>
    <w:tbl>
      <w:tblPr>
        <w:tblW w:w="5805" w:type="dxa"/>
        <w:jc w:val="left"/>
        <w:tblInd w:w="0" w:type="dxa"/>
        <w:tblLayout w:type="fixed"/>
        <w:tblCellMar>
          <w:top w:w="28" w:type="dxa"/>
          <w:left w:w="28" w:type="dxa"/>
          <w:bottom w:w="28" w:type="dxa"/>
          <w:right w:w="28" w:type="dxa"/>
        </w:tblCellMar>
      </w:tblPr>
      <w:tblGrid>
        <w:gridCol w:w="4246"/>
        <w:gridCol w:w="146"/>
        <w:gridCol w:w="211"/>
        <w:gridCol w:w="99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1,320,508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6,747,383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December 31, 2024:</w:t>
      </w:r>
    </w:p>
    <w:p>
      <w:pPr>
        <w:pStyle w:val="TextBody"/>
        <w:bidi w:val="0"/>
        <w:jc w:val="both"/>
        <w:rPr/>
      </w:pPr>
      <w:r>
        <w:rPr/>
        <w:t> </w:t>
      </w:r>
    </w:p>
    <w:tbl>
      <w:tblPr>
        <w:tblW w:w="5745" w:type="dxa"/>
        <w:jc w:val="left"/>
        <w:tblInd w:w="0" w:type="dxa"/>
        <w:tblLayout w:type="fixed"/>
        <w:tblCellMar>
          <w:top w:w="28" w:type="dxa"/>
          <w:left w:w="28" w:type="dxa"/>
          <w:bottom w:w="28" w:type="dxa"/>
          <w:right w:w="28" w:type="dxa"/>
        </w:tblCellMar>
      </w:tblPr>
      <w:tblGrid>
        <w:gridCol w:w="4246"/>
        <w:gridCol w:w="146"/>
        <w:gridCol w:w="211"/>
        <w:gridCol w:w="93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8,639,701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Term Notes (Agile)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balances of the December Agile Note, with a maturity date on the March Agile Note of November 12, 2025. The March Agile Note bears interest at a rate of 44%, and interest will be calculated on a three hundred and sixty (360) day year based on the actual number of days lapsed, and interest shall accrue on the March Agile Note commencing on and including the effective date pursuant to the March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$262,500 and received $250,000 of proceeds, net of administrative agent fees $12,500 to the collateral agent, with a maturity date of December 15, 2025 under the June Note. The June Note bears interest at a rate of 48%, and interest will be calculated on a three hundred and sixty (360) day year based on the actual number of days lapsed, and interest shall accrue on the June Note commencing on and including the effective date pursuant to the June Note Agreement's weekly repayment and amortization schedule.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July Agile Note, the September Agile Note, the December Agile Note, the March Agile Note, and the June Agile Note are together referred to as the “Agile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Agile Notes include contingent redemption (put) rights which trigger mandatory prepayment and a make-whole premium upon certain events including an event of default, and defaulted contingent interest upon an event of default.</w:t>
      </w:r>
    </w:p>
    <w:p>
      <w:pPr>
        <w:pStyle w:val="TextBody"/>
        <w:bidi w:val="0"/>
        <w:jc w:val="both"/>
        <w:rPr>
          <w:rFonts w:ascii="Times New Roman" w:hAnsi="Times New Roman"/>
          <w:sz w:val="20"/>
        </w:rPr>
      </w:pPr>
      <w:r>
        <w:rPr>
          <w:rFonts w:ascii="Times New Roman" w:hAnsi="Times New Roman"/>
          <w:color w:val="000000"/>
          <w:sz w:val="20"/>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$817,721 and $1,499,649 for the three and nine months ending September 30, 2025, respectively and is included in the fair value of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as of September 30,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25" w:type="dxa"/>
        <w:jc w:val="left"/>
        <w:tblInd w:w="0" w:type="dxa"/>
        <w:tblLayout w:type="fixed"/>
        <w:tblCellMar>
          <w:top w:w="28" w:type="dxa"/>
          <w:left w:w="28" w:type="dxa"/>
          <w:bottom w:w="28" w:type="dxa"/>
          <w:right w:w="28" w:type="dxa"/>
        </w:tblCellMar>
      </w:tblPr>
      <w:tblGrid>
        <w:gridCol w:w="4666"/>
        <w:gridCol w:w="146"/>
        <w:gridCol w:w="211"/>
        <w:gridCol w:w="99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(1,929,885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Convertible Notes (1800 Diagonal)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$152,000 of proceeds, net of an original issue discount of $24,000 and issuance costs of $8,000 for due diligence and legal fees,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2024, the Company issued a second promissory note (the “September 1800 Diagonal Note”) for an aggregate principal amount of $124,200 and received $100,000 of proceeds, net of an original discount of $16,200 and issuance costs of $8,000 for due diligence and legal fees, with a maturity date of July 30, 2025. The stated interest rate on the September Note is 12% per annum, and interest shall accrue on the September Note commencing on and including the issuance date pursuant to the September Note Agreement's repayment and amortization schedule. On July 23, 2025, the Company exercised its conversion option under the September 1800 Diagonal Note. On the conversion date, the September 1800 Diagonal Note had a fair value of $17,000 and converted into 7,034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10, 2024, the Company issued a third promissory note (the “December 1800 Diagonal Note”) for an aggregate principal amount of $124,200 and received $100,000 of proceeds, net of an original discount of $16,200 and issuance costs of $8,000 for due diligence and legal fees, with a maturity date of October 15, 2025. The stated interest rate on the December Note is 12% per annum, and interest shall accrue on the December Note commencing on and including the issuance date pursuant to the December Note Agreement's repayment and amortization schedule. On July 22, 2025, the Company exercised its conversion option under the December 1800 Diagonal Note. On the conversion date, the December 1800 Diagonal Note had a fair value of $58,000 and converted into 19,986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 On August 11, 2025, the Company exercised its conversion option under the February 1800 Diagonal Note. On the conversion date, the February 1800 Diagonal Note had a fair value of $80,700 and converted into 32,780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$230,000 and received $192,000 of proceeds, net of an original discount of $30,000 and issuance costs of $8,000 for due diligence and legal fees, with a maturity date of February 15, 2026. The stated interest rate on the April Note is 12% per annum, and interest shall accrue on the April Note commencing on and including the issuance date pursuant to the April Note Agreement's repayment and amortization schedule.</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$163,300 and received $135,000 of proceeds, net of an original discount of $21,300 and issuance costs of $7,000 for due diligence and legal fees, with a maturity date of February 15, 2026. The stated interest rate on the May Note is 12% per annum, and interest shall accrue on the May Note commencing on and including the issuance date pursuant to the May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23, 2025, the Company issued a seventh promissory note (the “July 1800 Diagonal Note”) for an aggregate principal amount of $295,500 and received $250,000 of proceeds, net of an original discount of $38,500 and issuance costs of $7,000 for due diligence and legal fees, with a maturity date of May 30, 2026. The stated interest rate on the May Note is 12% per annum, and interest shall accrue on the July Note commencing on and including the issuance date pursuant to the July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1800 Diagonal Note”) for an aggregate principal amount of $151,800 and received $125,000 of proceeds, net of an original discount of $19,800 and issuance costs of $7,000 for due diligence and legal fees, with a maturity date of June 15, 2026. The stated interest rate on the September Note is 14% per annum, and interest shall accrue on the September Note commencing on and including the issuance date pursuant to the September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April 1800 Diagonal Note, the May 1800 Diagonal Note, the July 1800 Diagonal Note, and the September 1800 Diagonal Note are together referred to as the “1800 Diagonal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1800 Diagonal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1800 Diagonal Notes, the Company elected to account for the 1800 Diagonal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$54,835 and $71,505 for the three and nine months ending September 30, 2025 and is included in the fair value of the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1800 Diagonal Notes as of September 30,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75" w:type="dxa"/>
        <w:jc w:val="left"/>
        <w:tblInd w:w="0" w:type="dxa"/>
        <w:tblLayout w:type="fixed"/>
        <w:tblCellMar>
          <w:top w:w="28" w:type="dxa"/>
          <w:left w:w="28" w:type="dxa"/>
          <w:bottom w:w="28" w:type="dxa"/>
          <w:right w:w="28" w:type="dxa"/>
        </w:tblCellMar>
      </w:tblPr>
      <w:tblGrid>
        <w:gridCol w:w="4666"/>
        <w:gridCol w:w="146"/>
        <w:gridCol w:w="211"/>
        <w:gridCol w:w="84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1800 Diagonal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1800 Diagonal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Private Placement Offering (3i, LP)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The Private Placement Offering closed on June 30, 2025 (the “Closing Date”). Refer to </w:t>
      </w:r>
      <w:r>
        <w:rPr>
          <w:rFonts w:ascii="Times New Roman" w:hAnsi="Times New Roman"/>
          <w:i/>
          <w:color w:val="212529"/>
          <w:sz w:val="20"/>
        </w:rPr>
        <w:t>Note 16 - Equity</w:t>
      </w:r>
      <w:r>
        <w:rPr>
          <w:rFonts w:ascii="Times New Roman" w:hAnsi="Times New Roman"/>
          <w:color w:val="212529"/>
          <w:sz w:val="20"/>
        </w:rPr>
        <w:t>, for further description of the Warrants issued in the Private Placement Offering.</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The Company issued an initial Note (the "June 3i Note") in the aggregate original principal amount of $2,200,000 against the aggregate maximum under the Purchase Agreement with an initial conversion price of $2.50 per share and a warrant to initially acquire up to 67,124 shares of Common Stock (the “Buyer Warrants”) (as exercised, collectively, the “Warrant Shares”) at an exercise price of $2.50 per share. The Company received proceeds of $1,725,000, net of original issue discount and issuance fees and costs. The Company intends to use the net proceeds received from the Offering for general corporate purposes and working capital.</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Notes were issued with an original issue discount of 10.0% and accrue interest at a rate of 10.0% per annum. The Notes mature twelve (12) months from the date of issuance, June 30, 2026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$0.11.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19, 2025, the parties held an additional closing pursuant to the terms of the Purchase Agreement (the “Second Closing”). The Company issued an additional note (the "August 3i Note") in the original principal amount of $2,200,000, with an initial conversion price equal to $2.50 per share and issuance date of August 19, 2025 (the Additional Note and the Initial Note, are collectively referred to herein as the “Notes”), and Additional Warrants to purchase up to 126,107 shares of Common Stock, at an initial exercise price equal to $2.50 per share (the “Additional Warrants and the Initial Buyer Warrants, are collectively referred to herein as the “Buyer Warrants”), in the Second Closing. The Additional Note matures on August 19, 2026. Other than the maturity date of the Additional Note and Additional Warrants, respectively, the Additional Note and Additional Warrants have the same terms as those issued on the Initial Closing Date. </w:t>
      </w:r>
      <w:r>
        <w:rPr>
          <w:rFonts w:ascii="Times New Roman" w:hAnsi="Times New Roman"/>
          <w:color w:val="212529"/>
          <w:sz w:val="20"/>
        </w:rPr>
        <w:t xml:space="preserve">The initial net proceeds to the Company from the August 2025 Note were approximately $1.762 million, after the original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issuance discount and deducting financial advisory fees and estimated offering expenses payable by the Company. The Company intends to use the net proceeds received from the Offering for general corporate purposes and working capital.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August 2025 Note was issued with an original issue discount of 10.0% (the “OID”), as was the Note issued on the Initial Closing Date and accrue interest at a rate of 10.0% per annum. The August 2025 Note matures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Additional Note is subject to a floor price of $1.10.</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In addition, if an Event of Default (as defined in the Notes) has occurred under the Notes,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Private Placement Convertible Notes, the Company elected to account for the Private Placement Convertible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$1,193,231 for the three and nine months ending September 30, 2025 and is included in the fair value of the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September 30, 2025:</w:t>
      </w:r>
    </w:p>
    <w:p>
      <w:pPr>
        <w:pStyle w:val="TextBody"/>
        <w:bidi w:val="0"/>
        <w:jc w:val="left"/>
        <w:rPr/>
      </w:pPr>
      <w:r>
        <w:rPr/>
        <w:t> </w:t>
      </w:r>
    </w:p>
    <w:tbl>
      <w:tblPr>
        <w:tblW w:w="6225" w:type="dxa"/>
        <w:jc w:val="left"/>
        <w:tblInd w:w="0" w:type="dxa"/>
        <w:tblLayout w:type="fixed"/>
        <w:tblCellMar>
          <w:top w:w="28" w:type="dxa"/>
          <w:left w:w="28" w:type="dxa"/>
          <w:bottom w:w="28" w:type="dxa"/>
          <w:right w:w="28" w:type="dxa"/>
        </w:tblCellMar>
      </w:tblPr>
      <w:tblGrid>
        <w:gridCol w:w="4666"/>
        <w:gridCol w:w="146"/>
        <w:gridCol w:w="211"/>
        <w:gridCol w:w="99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(1,649,146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2,304,000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23,000 shares of Common Stock of the Company, and which remained outstanding as of September 30, 2025. The Public Warrants have an exercise price of $5,750 per share, subject to adjustments, and will expire five years from the Merger Closing Date.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As the Resale Registration Statement was declared effective within the contractual 60-day term upon closing of the Merger, no "cashless basis" exercises were triggered during the period ended September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$9,000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$5.00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and only if, the closing price per share of Class A Common Stock equals or exceeds $9,000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$9,000 redemption trigger price (as adjusted for adjustments to the number of shares issuable upon exercise or the exercise price of a Public Warrant as described under the heading “-Warrants—Public Stockholder Warrants—Anti-dilution Adjustments”) as well as the $5,750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13 -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1,657 shares at an exercise price of $3,245 per share. GEM may exercise the GEM Warrant at any time and from time to time until December 14, 2026. The terms of the GEM Warrant provide that the exercise price of the GEM Warrant, and the number of shares of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$18.30. The effect of the change in strike price feature being triggered resulted in a change of value of approximately $15,000 which is recorded in the statement of operations line change in fair value of warrant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was determined utilizing a Monte Carlo simulation considering all relevant assumptions current at the date of issuance (i.e., share price, exercise price, term, volatility, risk-free rate, probability of dilutive term of three years, and expected time to conversion). As of September 30, 2025 and December 31, 2024, the fair value of the Warrants, as determined by the Monte Carlo simulation option pricing model, were $2,000 and $15,000,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13 - Debt</w:t>
      </w:r>
      <w:r>
        <w:rPr>
          <w:rFonts w:ascii="Times New Roman" w:hAnsi="Times New Roman"/>
          <w:color w:val="000000"/>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at issuance on June 30, 2025 and August 19, 2025, was determined utilizing a Monte Carlo simulation considering all relevant assumptions current at the date of issuance (i.e., share price, exercise price, term, volatility, risk-free rate, and term of three to five years). As of September 30, 2025, the fair value of the Private Placement Warrants, as determined by the Monte Carlo simulation option pricing model, was $901,000.</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the inputs to the Monte Carlo Simulation for the Private Placement Warrant liability which are Level 3 financial liabilities that are measured at fair value on a recurring basis:</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071"/>
        <w:gridCol w:w="146"/>
        <w:gridCol w:w="551"/>
        <w:gridCol w:w="1219"/>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2.75 - 4.89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 - 3.7%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 - 128%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operating leases for its real estate across multiple states. The operating leases have remaining lease terms of approximately 2.08 years as of September 30, 2025 and consist primarily of office space.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lease agreements generally do not provide an implicit borrowing rate. Therefore, the Company used a benchmark approach to derive an appropriate incremental borrowing rate to discount remaining lease payments.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Leases with an initial term of twelve months or less are not recorded on the balance sheet. There are no material residual guarantees associated with any of the Company’s leases, and there are no significant restrictions or covenants included in the Company’s lease agreements. Certain leases include variable payments related to common area maintenance and property taxes, which are billed by the landlord, as is customary with these types of charges for office space. The Company has not entered into any lease arrangements with related parties.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existing leases contain escalation clauses and renewal options. The Company is not reasonably certain that renewal options will be exercised upon expiration of the initial terms of its existing leases.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entered into a sublease which it has identified as an operating lease prior to the adoption of ASC 842 </w:t>
      </w:r>
      <w:r>
        <w:rPr>
          <w:rFonts w:ascii="Times New Roman" w:hAnsi="Times New Roman"/>
          <w:i/>
          <w:color w:val="000000"/>
          <w:sz w:val="20"/>
        </w:rPr>
        <w:t>Leases</w:t>
      </w:r>
      <w:r>
        <w:rPr>
          <w:rFonts w:ascii="Times New Roman" w:hAnsi="Times New Roman"/>
          <w:color w:val="000000"/>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lease expense for the three months ended September 30, 2025 and 2024 , are as follows:</w:t>
      </w:r>
    </w:p>
    <w:p>
      <w:pPr>
        <w:pStyle w:val="TextBody"/>
        <w:bidi w:val="0"/>
        <w:jc w:val="both"/>
        <w:rPr/>
      </w:pPr>
      <w:r>
        <w:rPr/>
        <w:t> </w:t>
      </w:r>
    </w:p>
    <w:tbl>
      <w:tblPr>
        <w:tblW w:w="6746" w:type="dxa"/>
        <w:jc w:val="left"/>
        <w:tblInd w:w="0" w:type="dxa"/>
        <w:tblLayout w:type="fixed"/>
        <w:tblCellMar>
          <w:top w:w="28" w:type="dxa"/>
          <w:left w:w="28" w:type="dxa"/>
          <w:bottom w:w="28" w:type="dxa"/>
          <w:right w:w="28" w:type="dxa"/>
        </w:tblCellMar>
      </w:tblPr>
      <w:tblGrid>
        <w:gridCol w:w="2611"/>
        <w:gridCol w:w="146"/>
        <w:gridCol w:w="394"/>
        <w:gridCol w:w="1068"/>
        <w:gridCol w:w="273"/>
        <w:gridCol w:w="273"/>
        <w:gridCol w:w="394"/>
        <w:gridCol w:w="1376"/>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(income)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components of lease expense for the nine months ended September 30, 2025 and 2024, are as follows: </w:t>
      </w:r>
    </w:p>
    <w:p>
      <w:pPr>
        <w:pStyle w:val="TextBody"/>
        <w:bidi w:val="0"/>
        <w:jc w:val="both"/>
        <w:rPr/>
      </w:pPr>
      <w:r>
        <w:rPr/>
        <w:t> </w:t>
      </w:r>
    </w:p>
    <w:tbl>
      <w:tblPr>
        <w:tblW w:w="6627" w:type="dxa"/>
        <w:jc w:val="left"/>
        <w:tblInd w:w="0" w:type="dxa"/>
        <w:tblLayout w:type="fixed"/>
        <w:tblCellMar>
          <w:top w:w="28" w:type="dxa"/>
          <w:left w:w="28" w:type="dxa"/>
          <w:bottom w:w="28" w:type="dxa"/>
          <w:right w:w="28" w:type="dxa"/>
        </w:tblCellMar>
      </w:tblPr>
      <w:tblGrid>
        <w:gridCol w:w="2611"/>
        <w:gridCol w:w="146"/>
        <w:gridCol w:w="346"/>
        <w:gridCol w:w="1109"/>
        <w:gridCol w:w="239"/>
        <w:gridCol w:w="239"/>
        <w:gridCol w:w="346"/>
        <w:gridCol w:w="1380"/>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(income)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cash flow information related to leases are as follows:</w:t>
      </w:r>
    </w:p>
    <w:p>
      <w:pPr>
        <w:pStyle w:val="TextBody"/>
        <w:bidi w:val="0"/>
        <w:jc w:val="both"/>
        <w:rPr/>
      </w:pPr>
      <w:r>
        <w:rPr/>
        <w:t> </w:t>
      </w:r>
    </w:p>
    <w:tbl>
      <w:tblPr>
        <w:tblW w:w="9961" w:type="dxa"/>
        <w:jc w:val="left"/>
        <w:tblInd w:w="0" w:type="dxa"/>
        <w:tblLayout w:type="fixed"/>
        <w:tblCellMar>
          <w:top w:w="28" w:type="dxa"/>
          <w:left w:w="28" w:type="dxa"/>
          <w:bottom w:w="28" w:type="dxa"/>
          <w:right w:w="28" w:type="dxa"/>
        </w:tblCellMar>
      </w:tblPr>
      <w:tblGrid>
        <w:gridCol w:w="5866"/>
        <w:gridCol w:w="146"/>
        <w:gridCol w:w="334"/>
        <w:gridCol w:w="1165"/>
        <w:gridCol w:w="262"/>
        <w:gridCol w:w="231"/>
        <w:gridCol w:w="334"/>
        <w:gridCol w:w="1332"/>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(16,740</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leases was as follows:</w:t>
      </w:r>
    </w:p>
    <w:p>
      <w:pPr>
        <w:pStyle w:val="TextBody"/>
        <w:bidi w:val="0"/>
        <w:jc w:val="both"/>
        <w:rPr/>
      </w:pPr>
      <w:r>
        <w:rPr/>
        <w:t> </w:t>
      </w:r>
    </w:p>
    <w:tbl>
      <w:tblPr>
        <w:tblW w:w="7245" w:type="dxa"/>
        <w:jc w:val="left"/>
        <w:tblInd w:w="0" w:type="dxa"/>
        <w:tblLayout w:type="fixed"/>
        <w:tblCellMar>
          <w:top w:w="28" w:type="dxa"/>
          <w:left w:w="28" w:type="dxa"/>
          <w:bottom w:w="28" w:type="dxa"/>
          <w:right w:w="28" w:type="dxa"/>
        </w:tblCellMar>
      </w:tblPr>
      <w:tblGrid>
        <w:gridCol w:w="3121"/>
        <w:gridCol w:w="146"/>
        <w:gridCol w:w="420"/>
        <w:gridCol w:w="1350"/>
        <w:gridCol w:w="146"/>
        <w:gridCol w:w="146"/>
        <w:gridCol w:w="409"/>
        <w:gridCol w:w="131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710" w:type="dxa"/>
        <w:jc w:val="left"/>
        <w:tblInd w:w="0" w:type="dxa"/>
        <w:tblLayout w:type="fixed"/>
        <w:tblCellMar>
          <w:top w:w="28" w:type="dxa"/>
          <w:left w:w="28" w:type="dxa"/>
          <w:bottom w:w="28" w:type="dxa"/>
          <w:right w:w="28" w:type="dxa"/>
        </w:tblCellMar>
      </w:tblPr>
      <w:tblGrid>
        <w:gridCol w:w="3586"/>
        <w:gridCol w:w="146"/>
        <w:gridCol w:w="420"/>
        <w:gridCol w:w="1350"/>
        <w:gridCol w:w="146"/>
        <w:gridCol w:w="146"/>
        <w:gridCol w:w="411"/>
        <w:gridCol w:w="1314"/>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2881"/>
        <w:gridCol w:w="146"/>
        <w:gridCol w:w="420"/>
        <w:gridCol w:w="1350"/>
        <w:gridCol w:w="271"/>
        <w:gridCol w:w="146"/>
        <w:gridCol w:w="411"/>
        <w:gridCol w:w="1314"/>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payments under non-cancellable lease as of September 30, 2025, are as follows:</w:t>
      </w:r>
    </w:p>
    <w:p>
      <w:pPr>
        <w:pStyle w:val="TextBody"/>
        <w:bidi w:val="0"/>
        <w:jc w:val="both"/>
        <w:rPr/>
      </w:pPr>
      <w:r>
        <w:rPr/>
        <w:t> </w:t>
      </w:r>
    </w:p>
    <w:tbl>
      <w:tblPr>
        <w:tblW w:w="3930" w:type="dxa"/>
        <w:jc w:val="left"/>
        <w:tblInd w:w="0" w:type="dxa"/>
        <w:tblLayout w:type="fixed"/>
        <w:tblCellMar>
          <w:top w:w="28" w:type="dxa"/>
          <w:left w:w="28" w:type="dxa"/>
          <w:bottom w:w="28" w:type="dxa"/>
          <w:right w:w="28" w:type="dxa"/>
        </w:tblCellMar>
      </w:tblPr>
      <w:tblGrid>
        <w:gridCol w:w="2686"/>
        <w:gridCol w:w="146"/>
        <w:gridCol w:w="211"/>
        <w:gridCol w:w="676"/>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Maturities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Investor Relations Consulting Agreement with MZHCI, LLC</w:t>
      </w:r>
    </w:p>
    <w:p>
      <w:pPr>
        <w:pStyle w:val="TextBody"/>
        <w:bidi w:val="0"/>
        <w:jc w:val="both"/>
        <w:rPr>
          <w:rFonts w:ascii="Times New Roman" w:hAnsi="Times New Roman"/>
          <w:color w:val="000000"/>
          <w:sz w:val="20"/>
        </w:rPr>
      </w:pPr>
      <w:r>
        <w:rPr>
          <w:rFonts w:ascii="Times New Roman" w:hAnsi="Times New Roman"/>
          <w:color w:val="000000"/>
          <w:sz w:val="20"/>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24,000 shares to MZHCI. The shares are exempt from registration pursuant to Section 4(a)(2) of the Securities Act of 1933, as amended, and were issued as restricted stock with an appropriate restrictive legend.</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Repayment Plans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Perkins Coie LLP</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60,000 shares to Perkins to settle part of the outstanding liability balance. During the nine months ending September 30, 2025, the Company issued 130,000 shares to Perkins to settle the remaining outstanding liability balance.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Cooley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condensed consolidated statement of operations, for the nine months ended September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Settlement Letter with CohnReznick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The remaining unpaid balance of $577,400 is included in Accrued expenses and other current liabilities on the condensed consolidated balance sheet as of September 30, 2025.</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condensed consolidated statement of operations, for the nine months ended September 30,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balance of $109,464 is included in Accrued expenses and other current liabilities on the condensed consolidated balance sheet as of September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September 30, 2025, the Company had issued 3,000 shares and made aggregate installment payments of $78,437 to Verista. The remaining unpaid balance of $45,785 is included in Accounts Payable on the condensed consolidated balance sheet as of September 30,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Payment to Act-On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September 30, 2025, the Company had paid the total amount owed of approximately $1,382,030 to Act-On.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authorized to issue up to 275,000,000 shares, consisting of 250,000,000 Class A Common Stock, and 25,000,000 shares of Class B Common Stock par value $0.0001 per share.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5,205,098 shares (4,973,984 Class A Common Stock and 231,114 Class B Common Stock) issued and outstanding at September 30, 2025 and 819,516 shares (588,402 Class A Common Stock and 231,114 Class B Common Stock) issued and outstanding at December 31,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authorized to issue 75,000,000 shares of preferred stock with a par value of $0.0001 per share. The board of directors of the Company (the “Board”) has the authority to issue preferred stock and to determine the rights, privileges, preferences, restrictions, and voting rights of those shares. As of September 30, 2025 and December 31, 2024, one and one shares of preferred stock were outstanding,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14, 2023, the Company entered into the SEPA with YA II PN, LTD, a Cayman Islands exempt limited partnership managed by Yorkville Advisors Global, LP (“Yorkville”) in connection with the Merger. Pursuant to the SEPA, subject to certain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w:t>
      </w:r>
      <w:r>
        <w:rPr>
          <w:rFonts w:ascii="Times New Roman" w:hAnsi="Times New Roman"/>
          <w:i/>
          <w:color w:val="000000"/>
          <w:sz w:val="20"/>
        </w:rPr>
        <w:t xml:space="preserve">Derivatives and Hedging </w:t>
      </w:r>
      <w:r>
        <w:rPr>
          <w:rFonts w:ascii="Times New Roman" w:hAnsi="Times New Roman"/>
          <w:color w:val="000000"/>
          <w:sz w:val="20"/>
        </w:rPr>
        <w:t xml:space="preserve">("ASC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1,420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$1,000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$1,000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nine months ended September 30,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nine months ended September 30, 2025 the Company requested the purchase of a total of 1,266,001 shares of the Company’s Class A common stock in connection with the Option 1 Advances, which Yorkville purchased for a total purchase price of approximately $6,814,734. The Company recognized a loss of approximately $340,850 on the sales, which represents the difference between the fair value of the shares issued and the proceeds received from the sales.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nine months ended September 30, 2025 the Company requested the purchase of a total of 1,179,000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ASC Topic 815, </w:t>
      </w:r>
      <w:r>
        <w:rPr>
          <w:rFonts w:ascii="Times New Roman" w:hAnsi="Times New Roman"/>
          <w:i/>
          <w:color w:val="000000"/>
          <w:sz w:val="20"/>
        </w:rPr>
        <w:t>Derivatives and Hedging</w:t>
      </w:r>
      <w:r>
        <w:rPr>
          <w:rFonts w:ascii="Times New Roman" w:hAnsi="Times New Roman"/>
          <w:color w:val="000000"/>
          <w:sz w:val="20"/>
        </w:rPr>
        <w:t>. As such, upon issuance of the Advance Notices for the Option 2 Advances, the Company recognized derivative liabilities totaling approximately $431,203 in the aggregate, the fair values of which represented the intrinsic value of the requested number of shares of Class A common stock on the Advance Notice dates. The Company recognized a loss of approximately $431,000 during the nine months ended September 30, 2025 representing the change in fair value of the derivative liabilities during the period from the Advance Notice dates and the settlement dates of the Option 2 Advances. Upon settlement of the Option 2 Advances, the Company sold an aggregate of 1,179,000 shares of the Company’s Class A common stock to Yorkville for total proceeds of approximately $10,779,127.</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during the nine months ended September 30, 2025, the Company settled one Advance Notice subject to the Option 2 Pricing Period issued on December 30, 2024, and accordingly sold 30,489 of the Company’s Class A common stock to Yorkville for proceeds of approximately $48,000.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under ATM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(“Wainwright”), to sell its shares of Class A common stock, par value $0.0001 per share (the “Class A Common Stock”), from time to time, in an “at the market offering” program through Wainwright, with certain limitations on the amount of Class A Common Stock that may be offered and sold thereunder. The sales of the Shares made under the ATM Agreement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ended September 30, 2025, the Company issued 406,772 shares under the ATM Agreement for net proceeds of approximately $1,078,710.</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issued 15,000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40,000, 23,600, and 52,000, respectively, restricted shares of its Class A Common Stock to Hudson, in exchange for certain business advisory services as outlined in a consulting agreement with Hudson, executed on April 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3,000 shares of its Common Stock, with a determined fair value of $49,800, in partial settlement of amounts owing to Verista. Refer to </w:t>
      </w:r>
      <w:r>
        <w:rPr>
          <w:rFonts w:ascii="Times New Roman" w:hAnsi="Times New Roman"/>
          <w:i/>
          <w:color w:val="000000"/>
          <w:sz w:val="20"/>
        </w:rPr>
        <w:t>Note 15</w:t>
      </w:r>
      <w:r>
        <w:rPr>
          <w:rFonts w:ascii="Times New Roman" w:hAnsi="Times New Roman"/>
          <w:color w:val="000000"/>
          <w:sz w:val="20"/>
        </w:rPr>
        <w:t xml:space="preserve"> - </w:t>
      </w:r>
      <w:r>
        <w:rPr>
          <w:rFonts w:ascii="Times New Roman" w:hAnsi="Times New Roman"/>
          <w:i/>
          <w:color w:val="000000"/>
          <w:sz w:val="20"/>
        </w:rPr>
        <w:t>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Shares Issued for RSU</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ended September 30, 2025, holders of 125,427 RSU's exercised those RSU's in exchange for 125,427 shares of Class A Common Stock of the Company.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a previously announced merger with Vidello. As part of the consideration paid to the Vidello Shareholders, the Company issued 89,820 shares of Class A Common Stock, with a determined fair value of $1,661,677. Refer to </w:t>
      </w:r>
      <w:r>
        <w:rPr>
          <w:rFonts w:ascii="Times New Roman" w:hAnsi="Times New Roman"/>
          <w:i/>
          <w:color w:val="000000"/>
          <w:sz w:val="20"/>
        </w:rPr>
        <w:t>Note 4</w:t>
      </w:r>
      <w:r>
        <w:rPr>
          <w:rFonts w:ascii="Times New Roman" w:hAnsi="Times New Roman"/>
          <w:color w:val="000000"/>
          <w:sz w:val="20"/>
        </w:rPr>
        <w:t xml:space="preserve"> - </w:t>
      </w:r>
      <w:r>
        <w:rPr>
          <w:rFonts w:ascii="Times New Roman" w:hAnsi="Times New Roman"/>
          <w:i/>
          <w:color w:val="000000"/>
          <w:sz w:val="20"/>
        </w:rPr>
        <w:t>Acquisition of Vidello</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104,882 shares of Class A Common Stock to Alco, resulting from the exercise by Alco of prefunded warrants purchased during September 2024.</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May 2025, the Company entered into a private placement agreement with certain investors to sell 31,885 shares of Class A common stock at $6.90 per share and 32,352 prefunded warrants (the "May 2025 Prefunded Warrants") at $3.40 per warrant. The May 2025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Prefunded Warrants were immediately exercised, resulting in the issuance of 32,352 shares of Class A common stock. The Company collected in aggregate $330,000 of gross proceeds from this private placement.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17.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Company adopted the 2023 Employee Stock Purchase Plan (the "Purchase Plan"). The Purchase Plan permits eligible employees of the Company and certain designated companies as determined by the Board of Directors, to purchase shares of the Company's Common Stock. The aggregate number of shares of common stock that may be purchased pursuant to the Purchase Plan is equal to 2% of the fully diluted common stock determined at the Close of the Merger Agreement, determined to be 1,144. In addition, the aggregate number of shares of common stock that remain available to be awarded under the Purchase Plan, will automatically increase on January 1 of each year for a period of 10 years commencing on January 1, 2024 and ending on January 1, 2033, in an amount equal to the lesser of one percent (1%) of the total number of shares of the fully diluted common stock determined as of December 31 of the preceding year, or a number of shares of common stock equal to two hundred percent (200%) of the initial share reserve of 1,144. As of September 30, 2025 and December 31, 2024, 26,039 and 1,156 shares of common stock remain available to be purchased under the Purchase Plan,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Company adopted the 2023 Equity Incentive Plan (the “Plan”). The Plan permits the granting of incentive stock options, nonstatutory stock options, SARs, restricted stock awards, RSU awards, performance awards, and other awards. to employees, directors, and consultants. The aggregate number of shares of common stock that may be issued will not exceed approximately 12.5% of the fully diluted common stock determined at the Close of the Merger, determined to be approximately 7,152. In addition, the aggregate number of shares of common stock that remain available to be awarded under the Plan, will automatically increase on January 1 of each year for a period of ten years commencing on January 1, 2024 and ending on January 1, 2033, in an amount equal to 5% of the total number of shares of the fully diluted common stock determined as of the day prior to such increase. As of September 30, 2025 and December 31, 2024, 425,699 and 232 stock options remain available to be awarded under the Plan, respectively.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accounts for stock-based payments pursuant to ASC 718 </w:t>
      </w:r>
      <w:r>
        <w:rPr>
          <w:rFonts w:ascii="Times New Roman" w:hAnsi="Times New Roman"/>
          <w:i/>
          <w:color w:val="000000"/>
          <w:sz w:val="20"/>
        </w:rPr>
        <w:t>Stock Compensation</w:t>
      </w:r>
      <w:r>
        <w:rPr>
          <w:rFonts w:ascii="Times New Roman" w:hAnsi="Times New Roman"/>
          <w:color w:val="000000"/>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assumptions used to compute the fair value of options granted:</w:t>
      </w:r>
    </w:p>
    <w:p>
      <w:pPr>
        <w:pStyle w:val="TextBody"/>
        <w:bidi w:val="0"/>
        <w:jc w:val="both"/>
        <w:rPr/>
      </w:pPr>
      <w:r>
        <w:rPr/>
        <w:t> </w:t>
      </w:r>
    </w:p>
    <w:tbl>
      <w:tblPr>
        <w:tblW w:w="5965" w:type="dxa"/>
        <w:jc w:val="left"/>
        <w:tblInd w:w="0" w:type="dxa"/>
        <w:tblLayout w:type="fixed"/>
        <w:tblCellMar>
          <w:top w:w="28" w:type="dxa"/>
          <w:left w:w="28" w:type="dxa"/>
          <w:bottom w:w="28" w:type="dxa"/>
          <w:right w:w="28" w:type="dxa"/>
        </w:tblCellMar>
      </w:tblPr>
      <w:tblGrid>
        <w:gridCol w:w="2086"/>
        <w:gridCol w:w="146"/>
        <w:gridCol w:w="1771"/>
        <w:gridCol w:w="146"/>
        <w:gridCol w:w="18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$146 - 305</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$146 - 2,500</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61.00 - 62.12%</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5.61 - 6.08</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4.20 - 4.45%</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60"/>
        <w:gridCol w:w="146"/>
        <w:gridCol w:w="281"/>
        <w:gridCol w:w="1305"/>
        <w:gridCol w:w="166"/>
        <w:gridCol w:w="146"/>
        <w:gridCol w:w="365"/>
        <w:gridCol w:w="1429"/>
        <w:gridCol w:w="146"/>
        <w:gridCol w:w="146"/>
        <w:gridCol w:w="640"/>
        <w:gridCol w:w="2050"/>
        <w:gridCol w:w="146"/>
        <w:gridCol w:w="146"/>
        <w:gridCol w:w="392"/>
        <w:gridCol w:w="646"/>
        <w:gridCol w:w="195"/>
      </w:tblGrid>
      <w:tr>
        <w:trPr/>
        <w:tc>
          <w:tcPr>
            <w:tcW w:w="1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Underlying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issuances under the Plan, the Company recorded stock-based compensation expense related to stock options of $79,488 and $182,496, which is included in general and administrative expense for the nine months ended September 30, 2025 and 2024, respectively. The weighted-average grant-date fair value per option granted during the nine months ended September 30, 2025 and 2024 was $12 and $85, respectively. As of September 30, 2025 and 2024, $261,467 and $591,887 of unrecognized compensation expense related to non-vested awards is expected to be recognized over the weighted average period of 9.13 and 3.55 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activity with respect to, and status of, RSUs during the nine months ended September 30, 2025 is presented below: </w:t>
      </w:r>
    </w:p>
    <w:p>
      <w:pPr>
        <w:pStyle w:val="TextBody"/>
        <w:bidi w:val="0"/>
        <w:jc w:val="both"/>
        <w:rPr/>
      </w:pPr>
      <w:r>
        <w:rPr/>
        <w:t> </w:t>
      </w:r>
    </w:p>
    <w:tbl>
      <w:tblPr>
        <w:tblW w:w="8252" w:type="dxa"/>
        <w:jc w:val="left"/>
        <w:tblInd w:w="0" w:type="dxa"/>
        <w:tblLayout w:type="fixed"/>
        <w:tblCellMar>
          <w:top w:w="28" w:type="dxa"/>
          <w:left w:w="28" w:type="dxa"/>
          <w:bottom w:w="28" w:type="dxa"/>
          <w:right w:w="28" w:type="dxa"/>
        </w:tblCellMar>
      </w:tblPr>
      <w:tblGrid>
        <w:gridCol w:w="2986"/>
        <w:gridCol w:w="146"/>
        <w:gridCol w:w="146"/>
        <w:gridCol w:w="841"/>
        <w:gridCol w:w="166"/>
        <w:gridCol w:w="146"/>
        <w:gridCol w:w="979"/>
        <w:gridCol w:w="265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nine months ended September 30, 2025 and September 30, 2024, the Company recorded stock-based compensation expense related to RSUs of $1,677,611 and $313,841, respectively, which is included in general and administrative expense. As of September 30, 2025 and 2024, unrecognized compensation cost related to the grant of RSUs was $2,342,212 and $158,032, respectively. Unvested outstanding RSUs as of September 30, 2025 and 2024 had a weighted average remaining vesting period of 2.25 and 1.2 years, respectively.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estimates an annual effective tax rate of 0% in relation to its US operations for the year ended December 31, 2025. The worldwide effective tax rate for the three months ended September 30, 2025 is (4.81%). The effective tax rate is due to the Company’s operations in England and Wales derived by the Vidello Merger. The Vidello operations in England and Wales are subject to a statutory corporate tax rate of 25%. For the three months ended September 30, 2025, the Company is not using an estimated annual effective tax rate methodology in relation to the Vidello operations. Due to the Company’s history of net losses from historical operations in the US, there is no income tax benefit being recorded in relation to the Company’s pre-tax book loss in the US taxing jurisdiction. Therefore, no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US federal or state income taxes are expected, and none have been recorded at this time. Income taxes have been accounted for using the liability method in accordance with FASB ASC 740.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 </w:t>
      </w:r>
    </w:p>
    <w:p>
      <w:pPr>
        <w:pStyle w:val="TextBody"/>
        <w:bidi w:val="0"/>
        <w:jc w:val="both"/>
        <w:rPr>
          <w:rFonts w:ascii="Times New Roman" w:hAnsi="Times New Roman"/>
          <w:color w:val="000000"/>
          <w:sz w:val="20"/>
        </w:rPr>
      </w:pPr>
      <w:r>
        <w:rPr>
          <w:rFonts w:ascii="Times New Roman" w:hAnsi="Times New Roman"/>
          <w:color w:val="000000"/>
          <w:sz w:val="20"/>
        </w:rPr>
        <w:t>At September 30, 2025, the Company had no unrecognized tax benefits that would reduce the Company’s effective tax rate if recognized.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Co, Inc., Banzai Reel Acquisition Inc. (OpenReel), and Vidello Limited (Vidello). The Company’s segments deliver SaaS tools that leverage data, analytics, and AI to provide marketing and sales solutions, including video production and editing, for businesses of all sizes.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tables below present information about reported segments for the three and nine months ending September 30,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5"/>
        <w:gridCol w:w="146"/>
        <w:gridCol w:w="242"/>
        <w:gridCol w:w="1141"/>
        <w:gridCol w:w="166"/>
        <w:gridCol w:w="146"/>
        <w:gridCol w:w="211"/>
        <w:gridCol w:w="931"/>
        <w:gridCol w:w="366"/>
        <w:gridCol w:w="346"/>
        <w:gridCol w:w="211"/>
        <w:gridCol w:w="781"/>
        <w:gridCol w:w="366"/>
        <w:gridCol w:w="346"/>
        <w:gridCol w:w="251"/>
        <w:gridCol w:w="1186"/>
        <w:gridCol w:w="314"/>
      </w:tblGrid>
      <w:tr>
        <w:trPr/>
        <w:tc>
          <w:tcPr>
            <w:tcW w:w="3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1,355,810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345,079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2,844,508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80,425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519,411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1,275,385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283,574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2,325,097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711,530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2,263,002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26,018</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106,105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540,548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576,169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807,510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209,817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488,677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1,523,534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4,099,737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(248,149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(1,774,640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2,361,139</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(280,534</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(4,135,779</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3"/>
        <w:gridCol w:w="146"/>
        <w:gridCol w:w="230"/>
        <w:gridCol w:w="1197"/>
        <w:gridCol w:w="166"/>
        <w:gridCol w:w="146"/>
        <w:gridCol w:w="211"/>
        <w:gridCol w:w="931"/>
        <w:gridCol w:w="366"/>
        <w:gridCol w:w="346"/>
        <w:gridCol w:w="211"/>
        <w:gridCol w:w="931"/>
        <w:gridCol w:w="346"/>
        <w:gridCol w:w="346"/>
        <w:gridCol w:w="236"/>
        <w:gridCol w:w="1230"/>
        <w:gridCol w:w="313"/>
      </w:tblGrid>
      <w:tr>
        <w:trPr/>
        <w:tc>
          <w:tcPr>
            <w:tcW w:w="2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4,184,291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1,851,639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9,350,573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232,927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1,679,925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3,951,364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1,527,193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7,670,648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1,977,525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210,284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6,222,683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384,456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2,126,243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1,646,430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2,459,965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203,185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2,494,406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8,473,449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3,964,318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13,303,297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(5,632,649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352,867</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7,703,470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(13,631,961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(13,336,119</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tables below present information about reported segments for the three and nine months ending September 30,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55"/>
        <w:gridCol w:w="146"/>
        <w:gridCol w:w="248"/>
        <w:gridCol w:w="1168"/>
        <w:gridCol w:w="166"/>
        <w:gridCol w:w="146"/>
        <w:gridCol w:w="381"/>
        <w:gridCol w:w="625"/>
        <w:gridCol w:w="346"/>
        <w:gridCol w:w="346"/>
        <w:gridCol w:w="301"/>
        <w:gridCol w:w="495"/>
        <w:gridCol w:w="346"/>
        <w:gridCol w:w="346"/>
        <w:gridCol w:w="258"/>
        <w:gridCol w:w="1218"/>
        <w:gridCol w:w="314"/>
      </w:tblGrid>
      <w:tr>
        <w:trPr/>
        <w:tc>
          <w:tcPr>
            <w:tcW w:w="3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OpenReel</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1,080,607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338,023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742,584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1,303,100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427,651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2,032,926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(1,290,342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1,480,516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(2,770,858</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55"/>
        <w:gridCol w:w="146"/>
        <w:gridCol w:w="248"/>
        <w:gridCol w:w="1168"/>
        <w:gridCol w:w="166"/>
        <w:gridCol w:w="146"/>
        <w:gridCol w:w="381"/>
        <w:gridCol w:w="625"/>
        <w:gridCol w:w="346"/>
        <w:gridCol w:w="346"/>
        <w:gridCol w:w="301"/>
        <w:gridCol w:w="495"/>
        <w:gridCol w:w="346"/>
        <w:gridCol w:w="346"/>
        <w:gridCol w:w="258"/>
        <w:gridCol w:w="1218"/>
        <w:gridCol w:w="314"/>
      </w:tblGrid>
      <w:tr>
        <w:trPr/>
        <w:tc>
          <w:tcPr>
            <w:tcW w:w="3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OpenReel</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3,228,276</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1,049,411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2,178,865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3,879,525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1,357,397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583,722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1,140,510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6,961,154</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(4,782,289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4,760,311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(9,542,600</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OpenReel acquisition occurred on December 18, 2024 and therefore is presented at $0 for comparative purposes. The Vidello acquisition occurred on January 31, 2025 (refer to </w:t>
      </w:r>
      <w:r>
        <w:rPr>
          <w:rFonts w:ascii="Times New Roman" w:hAnsi="Times New Roman"/>
          <w:i/>
          <w:color w:val="000000"/>
          <w:sz w:val="20"/>
        </w:rPr>
        <w:t>Note 4</w:t>
      </w:r>
      <w:r>
        <w:rPr>
          <w:rFonts w:ascii="Times New Roman" w:hAnsi="Times New Roman"/>
          <w:color w:val="000000"/>
          <w:sz w:val="20"/>
        </w:rPr>
        <w:t>) and therefore is presented at $0 for comparative purposes.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September 30, 2025, and 2024, is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6"/>
        <w:gridCol w:w="146"/>
        <w:gridCol w:w="307"/>
        <w:gridCol w:w="1446"/>
        <w:gridCol w:w="166"/>
        <w:gridCol w:w="146"/>
        <w:gridCol w:w="282"/>
        <w:gridCol w:w="1473"/>
        <w:gridCol w:w="213"/>
      </w:tblGrid>
      <w:tr>
        <w:trPr/>
        <w:tc>
          <w:tcPr>
            <w:tcW w:w="6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(2,770,858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(152,782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release of Vidello revenue holdback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and settlement of Alco promissory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4,808,882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and settlement of CP BF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6,529,402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earnout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settlement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(15,412,917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nine months ended September 30, 2025, and 2024, is as follows: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3"/>
        <w:gridCol w:w="146"/>
        <w:gridCol w:w="282"/>
        <w:gridCol w:w="1473"/>
        <w:gridCol w:w="166"/>
        <w:gridCol w:w="146"/>
        <w:gridCol w:w="282"/>
        <w:gridCol w:w="1473"/>
        <w:gridCol w:w="214"/>
      </w:tblGrid>
      <w:tr>
        <w:trPr/>
        <w:tc>
          <w:tcPr>
            <w:tcW w:w="6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(13,631,961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2,860,768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release of Vidello revenue holdback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and settlement of Alco promissory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4,808,882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and settlement of CP BF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6,529,402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94,760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earnout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settlement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(23,652,686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three months ended September 30, 2025, and 2024:</w:t>
      </w:r>
    </w:p>
    <w:p>
      <w:pPr>
        <w:pStyle w:val="TextBody"/>
        <w:bidi w:val="0"/>
        <w:jc w:val="left"/>
        <w:rPr/>
      </w:pPr>
      <w:r>
        <w:rPr/>
        <w:t> </w:t>
      </w:r>
    </w:p>
    <w:tbl>
      <w:tblPr>
        <w:tblW w:w="9934" w:type="dxa"/>
        <w:jc w:val="left"/>
        <w:tblInd w:w="0" w:type="dxa"/>
        <w:tblLayout w:type="fixed"/>
        <w:tblCellMar>
          <w:top w:w="28" w:type="dxa"/>
          <w:left w:w="28" w:type="dxa"/>
          <w:bottom w:w="28" w:type="dxa"/>
          <w:right w:w="28" w:type="dxa"/>
        </w:tblCellMar>
      </w:tblPr>
      <w:tblGrid>
        <w:gridCol w:w="1021"/>
        <w:gridCol w:w="146"/>
        <w:gridCol w:w="374"/>
        <w:gridCol w:w="1471"/>
        <w:gridCol w:w="271"/>
        <w:gridCol w:w="146"/>
        <w:gridCol w:w="374"/>
        <w:gridCol w:w="1471"/>
        <w:gridCol w:w="271"/>
        <w:gridCol w:w="146"/>
        <w:gridCol w:w="356"/>
        <w:gridCol w:w="1399"/>
        <w:gridCol w:w="271"/>
        <w:gridCol w:w="146"/>
        <w:gridCol w:w="356"/>
        <w:gridCol w:w="1399"/>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 Subsequent Events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Advanced Notice Settlements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9, 2025 and October 13, 2025, the Company settled Advance Notices received subsequent to September 30, 2025, by selling an aggregate of 180,000 shares of Class A Common Stock to Yorkville for an aggregate total purchase price of approximately $568,381.</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 Offering (3i, LP)</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October 8, 2025, the parties held an additional closing pursuant to the terms of the Purchase Agreement (the “October Closing”). The Company issued an additional note in the original principal amount of $2,500,000, with an initial conversion price equal to $2.50 per share and issuance date of October 8, 2025 (the “October 3i Note”, together with the August Note and the Initial Note, are collectively referred to herein as the “Notes”), and additional warrants to purchase up to 200,000 shares of Common Stock, at an initial exercise price equal to $2.50 per share (the “October Warrants”, together with the August Warrants and the Initial Buyer Warrants, are collectively referred to herein as the “Buyer Warrants”), in the October Closing. The October Note matures on October 8, 2026. Other than the maturity date of the October Note and October Warrants, respectively, the October Note and October Warrants have the same terms as those issued on the August Closing and the Initial Closing Date. Upon the issuance of the October Note, the Company </w:t>
      </w:r>
      <w:r>
        <w:rPr>
          <w:rFonts w:ascii="Times New Roman" w:hAnsi="Times New Roman"/>
          <w:color w:val="212529"/>
          <w:sz w:val="20"/>
        </w:rPr>
        <w:t>received proceeds of $2,010,909, net of original issue discount and issuance fees and costs.</w:t>
      </w:r>
    </w:p>
    <w:p>
      <w:pPr>
        <w:pStyle w:val="TextBody"/>
        <w:bidi w:val="0"/>
        <w:jc w:val="both"/>
        <w:rPr>
          <w:rFonts w:ascii="Times New Roman" w:hAnsi="Times New Roman"/>
          <w:color w:val="000000"/>
          <w:sz w:val="20"/>
        </w:rPr>
      </w:pPr>
      <w:r>
        <w:rPr>
          <w:rFonts w:ascii="Times New Roman" w:hAnsi="Times New Roman"/>
          <w:color w:val="000000"/>
          <w:sz w:val="20"/>
        </w:rPr>
        <w:t>The October Note was issued with an original issue discount of 10.0% (the “OID”), as were the other Notes issued on the August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$0.62.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October 10, 2025, the Company and 3i, LP entered into a consent and waiver agreement (the "Waiver") on certain terms of the Purchase Agreement (as defined in </w:t>
      </w:r>
      <w:r>
        <w:rPr>
          <w:rFonts w:ascii="Times New Roman" w:hAnsi="Times New Roman"/>
          <w:i/>
          <w:color w:val="000000"/>
          <w:sz w:val="20"/>
        </w:rPr>
        <w:t xml:space="preserve">Note 13 </w:t>
      </w:r>
      <w:r>
        <w:rPr>
          <w:rFonts w:ascii="Times New Roman" w:hAnsi="Times New Roman"/>
          <w:color w:val="000000"/>
          <w:sz w:val="20"/>
        </w:rPr>
        <w:t>in the notes to the unaudited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CP BF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$2.50.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jc w:val="both"/>
        <w:rPr>
          <w:rFonts w:ascii="Times New Roman" w:hAnsi="Times New Roman"/>
          <w:color w:val="000000"/>
          <w:sz w:val="20"/>
        </w:rPr>
      </w:pPr>
      <w:r>
        <w:rPr>
          <w:rFonts w:ascii="Times New Roman" w:hAnsi="Times New Roman"/>
          <w:color w:val="000000"/>
          <w:sz w:val="20"/>
        </w:rPr>
        <w:t>Pursuant to the CP BF Letter Agreement, the parties agreed to use an agreed 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Securities and Exchange Commission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the part of the Company to comply with certain financial covenants set forth in the Loan Agreement, as they relate to the period ending September 30, 2025.</w:t>
      </w:r>
    </w:p>
    <w:p>
      <w:pPr>
        <w:pStyle w:val="TextBody"/>
        <w:bidi w:val="0"/>
        <w:jc w:val="both"/>
        <w:rPr>
          <w:rFonts w:ascii="Times New Roman" w:hAnsi="Times New Roman"/>
          <w:color w:val="000000"/>
          <w:sz w:val="20"/>
        </w:rPr>
      </w:pPr>
      <w:r>
        <w:rPr>
          <w:rFonts w:ascii="Times New Roman" w:hAnsi="Times New Roman"/>
          <w:color w:val="000000"/>
          <w:sz w:val="20"/>
        </w:rPr>
        <w:t>The Company's failure to comply with the Letter Agreement shall constitute an Event of Default under the Loan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1800 Diagonal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the Company issued a ninth promissory note (the “November 1800 Diagonal Note”) for an aggregate principal amount of $238,050 and received $200,000 of proceeds, net of an original discount of $31,050 and issuance costs of $7,000 for due diligence and legal fees, with a maturity date of July 30, 2026. The stated interest rate on the November Note is 14% per annum, and interest shall accrue on the September Note commencing on and including the issuance date pursuant to the November Note Agreement's repayment and amortization schedule.</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Common Stock Issuances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received a conversion notice to convert principal of $183,333 relating to the contractual installment of $183,333 due October 1, 2025 on the June 3i Note. The Company converted the principal amount of $183,333 along with interest of $4,347 and make-whole interest of $12,986 into 83,470 shares of Class A Common Stock, at a conversion price of $2.42. Following the conversion, $8,154 of principal and $815 of interest remain on the June 3i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22, 2025, the Company received a conversion notice to convert the remaining principal of $8,154 relating to the remaining installment of $8,154 due February 1, 2026 on the June 3i Note. The Company converted the principal amount of $8,154 along with interest of $258 and make-whole interest of $557 into 3,713 shares of Class A Common Stock, at a conversion price of $2.42. Following the conversion, the June 3i Note was fully converted.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9, 2025, the Company received a conversion notice to convert principal of $183,333 relating to the contractual installment of $183,333 due October 1, 2025 on the August 3i Note. The Company converted the principal amount of $183,333 along with interest of $2,597 and make-whole interest of $15,736 into 83,470 shares of Class A Common Stock, at a conversion price of $2.42. Following the conversion, $1,283,333 of principal and $128,333 of interest remain on the August 3i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10, 2025, the Company received a conversion notice to convert principal of $183,333 relating to the contractual installment of $183,333 due May 1, 2026 on the August 3i Note. The Company converted the principal amount of $183,333 along with interest of $2,648 and make-whole interest of $15,685 into 83,470 shares of Class A Common Stock, at a conversion price of $2.42. Following the conversion, $1,100,000 of principal and $109,997 of interest remain on the August 3i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10, 2025, the Company received a conversion notice to convert principal of $183,333 relating to the contractual installment of $183,333 due April 1, 2026 on the August 3i Note. The Company converted the principal amount of $183,333 along with interest of $2,648 and make-whole interest of $15,685 into 83,470 shares of Class A Common Stock, at a conversion price of $2.42. Following the conversion, $916,667 of principal and $91,667 of interest remain on the August 3i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14, 2025, the Company received a conversion notice to convert principal of $183,333 relating to the contractual installment of $183,333 due March 1, 2026 on the August 3i Note. The Company converted the principal amount of $183,333 along with interest of $2,852 and make-whole interest of $15,481 into 83,470 shares of Class A Common Stock, at a conversion price of $2.42. Following the conversion, $733,333 of principal and $73,333 of interest remain on the August 3i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16, 2025, the Company received a conversion notice to convert principal of $183,333 relating to the contractual installment of $183,333 due October 1, 2026 on the October 3i Note. The Company converted the principal amount of $183,333 along with interest of $407 and make-whole interest of $17,926 into 80,667 shares of Class A Common Stock, at a conversion price of $2.50. Following the conversion, $2,316,667 of principal and $231,667 of interest remain on the October 3i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received a conversion notice to convert principal of $208,333 relating to the contractual installment of $208,333 due November 1, 2025 on the October 3i Note. The Company converted the principal amount of $208,333 along with interest of $1,505 and make-whole interest of $19,329 into 121,804 shares of Class A Common Stock, at a conversion price of $1.88. Following the conversion, $2,108,333 of principal and $210,833 of interest remain on the October 3i Note.</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Conversions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21, 2025, 1800 Diagonal exercised its conversion option under the April 1800 Diagonal Note. On the conversion date, the Company converted $65,000 of principal outstanding on the April 1800 Diagonal Note at a conversion price of $2.06, converting into 31,630 shares of the Company's Class A Common Stock. Following the conversion there was $194,000 of principal outstanding on the April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22, 2025, 1800 Diagonal exercised its conversion option under the April 1800 Diagonal Note. On the conversion date, the Company converted $50,625 of principal outstanding on the April 1800 Diagonal Note at a conversion price of $2.03, converting into 25,000 shares of the Company's Class A Common Stock. Following the conversion there was $144,975 of principal outstanding on the April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23, 2025, 1800 Diagonal exercised its conversion option under the April 1800 Diagonal Note. On the conversion date, the Company converted $65,000 of principal outstanding on the April 1800 Diagonal Note at a conversion price of $1.84, converting into 35,374 shares of the Company's Class A Common Stock. Following the conversion there was $81,475 of principal outstanding on the April 1800 Diagonal Note.</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24, 2025, 1800 Diagonal exercised its conversion option under the April 1800 Diagonal Note. On the conversion date, the Company converted $45,000 of principal outstanding on the April 1800 Diagonal Note at a conversion price of $1.81, converting into 24,896 shares of the Company's Class A Common Stock. Following the conversion there was $37,975 of principal outstanding on the April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27, 2025, 1800 Diagonal exercised its conversion option under the April 1800 Diagonal Note. On the conversion date, the Company converted $39,475 of principal outstanding on the April 1800 Diagonal Note at a conversion price of $1.69, converting into 23,393 shares of the Company's Class A Common Stock. Following the conversion, the April 1800 Diagonal Note was fully converted.</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17, 2025, CP BF exercised its optional conversion option in which it received 10,990 Class A Common Stock at the conversion price per share of $2.71 in satisfaction of $29,558 of the Company's obligations under the 2024 CP BF Convertible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20, 2025, CP BF exercised its optional conversion option in which it received 10,990 Class A Common Stock at the conversion price per share of $2.74 in satisfaction of $29,943 of the Company's obligations under the 2024 CP BF Convertible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21, 2025, CP BF exercised its optional conversion option in which it received 33,200 Class A Common Stock at the conversion price per share of $2.69 in satisfaction of $89,258 of the Company's obligations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22, 2025, CP BF exercised its optional conversion option in which it received 7,700 Class A Common Stock at the conversion price per share of $2.38 in satisfaction of $18,357 of the Company's obligations under the 2024 CP BF Convertible Note.</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6, 2025, the Company issued an Advance Notice to Yorkville pursuant to the SEPA in which the Company requested the purchase of 115,000 shares of the Company's Class A Common Stock at a purchase price of $3.08 for a total purchase price of $354,074 to be applied against the outstanding Yorkville Convertible Notes. Upon the settlement on October 8, 2025, the Company issued to Yorkville 115,000 shares of Class A Common Stock.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issued an Advance Notice to Yorkville pursuant to the SEPA in which the Company requested the purchase of 65,000 shares of the Company's Class A Common Stock at a purchase price of $2.95 for a total purchase price of $191,477 to be applied against the outstanding Yorkville Convertible Notes. Upon the settlement on October 15, 2025, the Company issued to Yorkville 65,000 shares of Class A Common Stock.</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At the Market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 2025 and November 11, 2025, the Company issued 498,222 shares under the ATM Agreement for net proceeds of approximately $1,310,738. The aggregate market value of the shares of Class A Common Stock eligible for sale under the ATM Prospectus Supplement is approximately $5.6 million as of November 11, 2025, which is based on the limitations of General Instruction I.B.6 of Form S-3.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Employee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 2025 and October 17, 2025, 21,262 vested RSU's under the 2023 Equity Incentive Plan were exercised into 21,262 shares of Class A Common Stock.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8" w:name="item_2_management_discussion_analysis"/>
      <w:bookmarkEnd w:id="8"/>
      <w:r>
        <w:rPr>
          <w:rFonts w:ascii="Times New Roman" w:hAnsi="Times New Roman"/>
          <w:b/>
          <w:color w:val="000000"/>
          <w:sz w:val="20"/>
        </w:rPr>
        <w:t>Item 2. Management’s Discussion and Analysis of Financial Condition</w:t>
      </w:r>
      <w:r>
        <w:rPr>
          <w:rFonts w:ascii="Times New Roman" w:hAnsi="Times New Roman"/>
          <w:color w:val="000000"/>
          <w:sz w:val="20"/>
        </w:rPr>
        <w:t xml:space="preserve"> </w:t>
      </w:r>
      <w:r>
        <w:rPr>
          <w:rFonts w:ascii="Times New Roman" w:hAnsi="Times New Roman"/>
          <w:b/>
          <w:color w:val="000000"/>
          <w:sz w:val="20"/>
        </w:rPr>
        <w:t>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Form 10-Q.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Our customer base included over 6,097 customers as of September 30, 2025, and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Progress towards this is reflected in our increase in multi-host Demio customers from 14 on January 1, 2021 to 97 on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Banzai’s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generated revenue of approximately $9.4 million and $3.2 million during the nine months ended September 30, 2025 and 2024, respectively. Banzai has incurred significant net losses since inception, including net losses of approximately $17.5 million and $23.7 million for the nine months ended September 30, 2025 and 2024, respectively. Banzai had an accumulated deficit of $95.7 million and $78.3 million as of September 30, 2025 and December 31, 2024,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our recent Mergers and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OpenReel Merger</w:t>
      </w:r>
    </w:p>
    <w:p>
      <w:pPr>
        <w:pStyle w:val="TextBody"/>
        <w:bidi w:val="0"/>
        <w:jc w:val="both"/>
        <w:rPr>
          <w:rFonts w:ascii="Times New Roman" w:hAnsi="Times New Roman"/>
          <w:color w:val="212529"/>
          <w:sz w:val="20"/>
        </w:rPr>
      </w:pPr>
      <w:r>
        <w:rPr>
          <w:rFonts w:ascii="Times New Roman" w:hAnsi="Times New Roman"/>
          <w:color w:val="212529"/>
          <w:sz w:val="20"/>
        </w:rPr>
        <w:t xml:space="preserve">On December 18, 2024 (the “OR Closing Date”), we closed the merger (the “Merger”, the consummation of the Merger, the “Closing”) with ClearDoc, Inc., a Delaware corporation doing business as OpenReel (“OpenReel”), pursuant to an Agreement and Plan of Merger (the “OR Merger Agreement”), dated December 10, 2024, by and among the Company, OpenReel, certain stockholders of OpenReel (the “OpenReel Stockholders”), and Banzai Reel Acquisition, Inc., a Delaware corporation and our wholly owned subsidiary (“Merger Sub”), that was formed solely for purposes of consummating the Merger. Upon Closing, the Merger Sub merged with and into OpenReel, with OpenReel being the surviving entity (the “Surviving Entity”) thereafter as our direct and wholly owned subsidiary named “OpenReel, Inc.” </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At the effective time of the Merger (the “Effective Time”), each share of capital stock of OpenReel issued and outstanding immediately prior to the Effective Time (other than shares as to which dissenter’s rights have been properly exercised and certain other excluded shares) was converted into the right to receive our Common Stock, and pre-funded warrants, each exercisable for one (1) share of Banzai Common Stock at an exercise price of US $0.0001 (the “Pre-Funded Warrants”) issued in lieu thereof, in an amount equal to the quotient of $19,600,000 divided by the Conversion Price (as defined in the OR Merger Agreement) (the “Merger Consideration”).</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Merger Consideration consisted of an aggregate of 93,055 shares of Banzai Common Stock and 1,176,950 Pre-Funded Warrants. The shares of Banzai Common Stock and Pre-Funded Warrants issued by Banzai to the OpenReel Stockholders pursuant to the OR Merger Agreement were issued in reliance upon the exemption from registration provided by Section 4(a)(2) of the Securities Act.</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OpenReel is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jc w:val="left"/>
        <w:rPr/>
      </w:pPr>
      <w:r>
        <w:rPr/>
        <w:t> </w:t>
      </w:r>
    </w:p>
    <w:p>
      <w:pPr>
        <w:pStyle w:val="TextBody"/>
        <w:bidi w:val="0"/>
        <w:jc w:val="both"/>
        <w:rPr>
          <w:rFonts w:ascii="Times New Roman" w:hAnsi="Times New Roman"/>
          <w:i/>
          <w:color w:val="212529"/>
          <w:sz w:val="20"/>
        </w:rPr>
      </w:pPr>
      <w:r>
        <w:rPr>
          <w:rFonts w:ascii="Times New Roman" w:hAnsi="Times New Roman"/>
          <w:i/>
          <w:color w:val="212529"/>
          <w:sz w:val="20"/>
        </w:rPr>
        <w:t>Vidello Acquisition</w:t>
      </w:r>
    </w:p>
    <w:p>
      <w:pPr>
        <w:pStyle w:val="TextBody"/>
        <w:bidi w:val="0"/>
        <w:jc w:val="both"/>
        <w:rPr>
          <w:rFonts w:ascii="Times New Roman" w:hAnsi="Times New Roman"/>
          <w:color w:val="212529"/>
          <w:sz w:val="20"/>
        </w:rPr>
      </w:pPr>
      <w:r>
        <w:rPr>
          <w:rFonts w:ascii="Times New Roman" w:hAnsi="Times New Roman"/>
          <w:color w:val="212529"/>
          <w:sz w:val="20"/>
        </w:rPr>
        <w:t>On January 31, 2025, the Company closed on the Vidello Limited acquisition, a private limited company registered in England and Wales for approximately $2.7 million in cash ($2,500,000 are withheld for indemnification expenses and other holdback provisions in accordance with the Acquisition Agreement, the “Cash Consideration”) and 89,820 shares of Banzai Class A common stock, pursuant to an Acquisition Agreement (the “Acquisition Agreement”), dated December 19, 2024, by and among the Company, Vidello, and certain shareholders of Vidello (the “Vidello Shareholders”). Vidello Shareholders transferred all the outstanding shares of Vidello to the Company, therefore, Vidello became a direct and wholly owned subsidiary of the Company. The Share Consideration to the Vidello Shareholders pursuant to the Acquisition Agreement were issued in reliance upon the exemption from registration provided by Regulation D as promulgated under the Securities Act of 1933, as amended (the “Securities Act”).</w:t>
      </w:r>
    </w:p>
    <w:p>
      <w:pPr>
        <w:pStyle w:val="TextBody"/>
        <w:bidi w:val="0"/>
        <w:jc w:val="both"/>
        <w:rPr>
          <w:rFonts w:ascii="Times New Roman" w:hAnsi="Times New Roman"/>
          <w:color w:val="212529"/>
          <w:sz w:val="20"/>
        </w:rPr>
      </w:pPr>
      <w:r>
        <w:rPr>
          <w:rFonts w:ascii="Times New Roman" w:hAnsi="Times New Roman"/>
          <w:color w:val="212529"/>
          <w:sz w:val="20"/>
        </w:rPr>
        <w:t>Vidello provides a suite of products for 3D video creation, royalty free music, and video marketing, with over $6.5 million in TTM revenue, $2 million in TTM EBITDA, which results are expected to reduce the combined company in operating losses to approximately $1.3 million per year.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212529"/>
          <w:sz w:val="20"/>
        </w:rPr>
        <w:t>Act On</w:t>
      </w:r>
      <w:r>
        <w:rPr>
          <w:rFonts w:ascii="Times New Roman" w:hAnsi="Times New Roman"/>
          <w:color w:val="212529"/>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Company entered into that certain Agreement and Plan of Merger (the “AO Merger Agreement”), dated January 22, 2025, with Act-On Software, Inc., a Delaware corporation (“Act-On”), and Banzai Passage Inc., a Delaware corporation and wholly owned subsidiary of Banzai (“Merger Sub”). Although the Company worked diligently to complete all closing conditions of the AO Merger Agreement, due to then-current market conditions, on June 6, 2025, Act-On served the Company with a notice of termination to terminate the Merger Agreement and any related agreements (collectively, the “AO Transaction Documents”). As per the AO Transaction Documents, the Company was required to pay certain termination fees including $500,000 in liquidated damages to cover certain transaction expenses Act-On incurred in connection with the merger contemplated by the AO Merger Agreement and $882,029.82 in additional interest and extension fees associated with one of Act-On’s outstanding debts that the Company was going to payoff in connection with the merger contemplated by the AO Merger Agreement. Accordingly, the Company paid the total amount owed of approximately $1,382,030 to Act-On.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29, 2024, we held a special meeting of securityholders (the “Special Meeting”). At the Special Meeting, the Company’s securityholders approved the proposal to amend our Second Amended and Restated Certificate of Incorporation to effect a reverse stock split with respect to the Company’s issued and outstanding Class A Common Stock, at a ratio of up to 1-for-50, with the final ratio and exact timing to be determined at the discretion of the Board of Directors. On September 10, 2024, our Board determined to effect a reverse stock split at a ratio of 1-for-50, effective as of September 19, 2024 and filed an amendment with the Secretary of State of the State of Delaware.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27, 2025, the stockholders of the Company collectively approved an amendment to the Company’s Certificate of Incorporation, as amended and restated, to effect a reverse stock split (the “2025 Reverse Stock Split”) of the Company’s Class A Common Stock and Class B Common Stock at a ratio of 1-for-10 effective on July 8,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Nasdaq Listing</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had a hearing before the Nasdaq Hearings Panel (the "Panel") on September 19, 2024 regarding the Company’s noncompliance with certain Nasdaq listing rules. On September 26, 2024, Nasdaq provided the Company with its determination to phase the Company down from the Nasdaq Global Market to the Nasdaq Capital Market (the "Exchange") and grant the Company an extension until January 31, 2025 to demonstrate compliance with Nasdaq's listing rules, so long as the company applies to list on the Nasdaq Capital Market on or before October 7, 2024 and demonstrates compliance with Listing Rules 5550(a)(2), 5550(a)(5) and 5550(b)(1) on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 before January 31, 2024. On February 12, 2025, the Company received a letter from the Nasdaq Stock Market LLC, Office of the General Counsel stating that the Company demonstrated compliance with the requirements for continued listing on the Nasdaq Capital Market and therefore the Company's securities would remain listed thereon.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2025 Financings</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Company may seek to raise additional capital through a private placement leveraging SEPA with the proceeds to support its operation and expansion through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212529"/>
          <w:sz w:val="20"/>
        </w:rPr>
        <w:t>H</w:t>
      </w:r>
      <w:r>
        <w:rPr>
          <w:rFonts w:ascii="Times New Roman" w:hAnsi="Times New Roman"/>
          <w:i/>
          <w:color w:val="000000"/>
          <w:sz w:val="20"/>
        </w:rPr>
        <w:t>udson Global Ventures, LLC Consulting Services Agreement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 2025, the Company issued 15,000 restricted shares of its Common Stock, partially in exchange for the business advisory services outlined in the Consulting Agreement with Hudson Global Ventures, LLC, a Nevada limited liability company. </w:t>
      </w:r>
    </w:p>
    <w:p>
      <w:pPr>
        <w:pStyle w:val="TextBody"/>
        <w:bidi w:val="0"/>
        <w:jc w:val="both"/>
        <w:rPr>
          <w:rFonts w:ascii="Times New Roman" w:hAnsi="Times New Roman"/>
          <w:i/>
          <w:color w:val="000000"/>
          <w:sz w:val="20"/>
        </w:rPr>
      </w:pPr>
      <w:r>
        <w:rPr>
          <w:rFonts w:ascii="Times New Roman" w:hAnsi="Times New Roman"/>
          <w:i/>
          <w:color w:val="000000"/>
          <w:sz w:val="20"/>
        </w:rPr>
        <w:t>CP BF Pre-Funded Warrant Exercise</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7, 2025, the Company issued 4 shares of Class A Common Stock for exercise of four (4) pre-funded warrants under the CP BF Pre-Funded Warrant, to CP BF.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w:t>
      </w:r>
    </w:p>
    <w:p>
      <w:pPr>
        <w:pStyle w:val="TextBody"/>
        <w:bidi w:val="0"/>
        <w:jc w:val="both"/>
        <w:rPr>
          <w:rFonts w:ascii="Times New Roman" w:hAnsi="Times New Roman"/>
          <w:color w:val="000000"/>
          <w:sz w:val="20"/>
        </w:rPr>
      </w:pPr>
      <w:r>
        <w:rPr>
          <w:rFonts w:ascii="Times New Roman" w:hAnsi="Times New Roman"/>
          <w:color w:val="000000"/>
          <w:sz w:val="20"/>
        </w:rPr>
        <w:t>On January 3, 2025, the Company settled its outstanding obligation to sell shares of Class A Common Stock related to the fourth Advance Notice issued to Yorkville on December 30, 2024 pursuant to the SEPA. After adjustments to the number of shares originally requested pursuant to the terms of the SEPA, the Company settled the Advance Notice by selling a total of 3,049 shares of Class A Common Stock to Yorkville for a total purchase price of approximately $48,000.</w:t>
      </w:r>
    </w:p>
    <w:p>
      <w:pPr>
        <w:pStyle w:val="TextBody"/>
        <w:bidi w:val="0"/>
        <w:jc w:val="both"/>
        <w:rPr>
          <w:rFonts w:ascii="Times New Roman" w:hAnsi="Times New Roman"/>
          <w:color w:val="000000"/>
          <w:sz w:val="20"/>
        </w:rPr>
      </w:pPr>
      <w:r>
        <w:rPr>
          <w:rFonts w:ascii="Times New Roman" w:hAnsi="Times New Roman"/>
          <w:color w:val="000000"/>
          <w:sz w:val="20"/>
        </w:rPr>
        <w:t>Between January 10, 2025 and August 7, 2025, the Company settled the fifth through fifty fourth Advance Notices received subsequent to December 31, 2024, by selling an aggregate of 2,144,680 shares of Class A Common Stock to Yorkville for an aggregate total purchase price of approximately $16,597,000.</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promissory note issuance to YA II PN, LTD. ("Yorkville")</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30, 2025, the Company entered into a convertible promissory note (the "Note") with Yorkville, in principal amount of $3,500,000 as an advance under the outstanding SEPA entered into on December 14, 2023. The maturity date of the note is July 31, 2025, and may be extended at the option of the Company. The note was issued with a ten percent (10%) original issue discount and bears interest at an annual rate of (i) zero percent (0%) for the first ninety (90) days following issuance, (ii) six percent (6%) thereafter, and (iii) upon the occurrence of an event of default, the interest rate shall increase to an annual rate of eighteen percent (18%) so long as the event or events of default remain uncured. Interest will be calculated on a 365-day year and the actual number of days elapsed.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shall repay the note in installments, beginning on February 28, 2025, and continuing on March 31, 2025, and on April 30, 2025 (each, an "Installment Date") in an amount equal to the sum of (i) $1,500,000 of principal in respect to the first two Installment Dates, and $500,000 in respect of the third Installment Date (or the outstanding principal if less than such amount), plus (ii) a payment premium (in an amount equal to 4% of the principal amount being paid), and (iii) accrued and unpaid interest as of each installment date. </w:t>
      </w:r>
    </w:p>
    <w:p>
      <w:pPr>
        <w:pStyle w:val="TextBody"/>
        <w:bidi w:val="0"/>
        <w:jc w:val="both"/>
        <w:rPr>
          <w:rFonts w:ascii="Times New Roman" w:hAnsi="Times New Roman"/>
          <w:color w:val="000000"/>
          <w:sz w:val="20"/>
        </w:rPr>
      </w:pPr>
      <w:r>
        <w:rPr>
          <w:rFonts w:ascii="Times New Roman" w:hAnsi="Times New Roman"/>
          <w:color w:val="000000"/>
          <w:sz w:val="20"/>
        </w:rPr>
        <w:t>The Note is convertible into shares of the Company's Class A Common Stock, par value $0.0001 per share (the "Class A Common Stock") at a conversion price of $2.00 per share (the "Conversion Price"). The lender may elect to convert part or all of the outstanding balance of the Note at any time or from time to time after the issuance date. The Company may redeem the outstanding amount at any time, in whole or in part, subject to a 4% premium, provided that (i) the Company provides the lender with at least ten (10) trading days' prior written notice (each, a "Redemption Notice") of its desire to redeem the outstanding amount (an "Optional Redemption"), and (ii) on the date the Redemption Notice is issued, the VWAP of the Class A Common Stock is less than the Conversion Price. As of September 30, 2025 the Note was repaid in full.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issued another Convertible Promissory Note (the “2025 Note”) with Yorkville in the principal amount of $2,000,000 (the “Original Principal Amount”), to be used as an advance under the SEPA. The Company received $890,000 from Yorkville on that same date (“Advance #1), which reflects 50% of the Original Principal Amount, 10% discount and certain fees owed at such time. Upon the effectiveness of the registration statement on Form S-1, originally filed with the SEC on September 12, 2025 (File No. 333-290241) and the delivery of a closing statement, Yorkville shall remit an amount equal to 50% of the remaining Original Principal Amount, or $1,000,000, less a discount equal to 10% of the Original Principal Amount, netted from the purchase price due and structured as a purchase discount (“Advance #2”).</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2025 Note was issued on September 16, 2025 (the “Issuance Date”) and the maturity date of the 2025 Note is March 16, 2026, but may be extended at the option of the Company (the “Maturity Date”). As of September 30, 2025, the September 2025 Yorkville Note was fully repaid.</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Shares of Class A Common Stock issued to Winterberry</w:t>
      </w:r>
    </w:p>
    <w:p>
      <w:pPr>
        <w:pStyle w:val="TextBody"/>
        <w:bidi w:val="0"/>
        <w:jc w:val="both"/>
        <w:rPr>
          <w:rFonts w:ascii="Times New Roman" w:hAnsi="Times New Roman"/>
          <w:color w:val="000000"/>
          <w:sz w:val="20"/>
        </w:rPr>
      </w:pPr>
      <w:r>
        <w:rPr>
          <w:rFonts w:ascii="Times New Roman" w:hAnsi="Times New Roman"/>
          <w:color w:val="000000"/>
          <w:sz w:val="20"/>
        </w:rPr>
        <w:t>On February 4, 2025 the Company issued 3,000 shares to Verista Partners, Inc., aka Winterberry Group, one of its Creditors, in exchange for the cancellation of a portion of the total outstanding debt, in the amount of $16,666, pursuant to the Debt Reorganization.</w:t>
      </w:r>
    </w:p>
    <w:p>
      <w:pPr>
        <w:pStyle w:val="TextBody"/>
        <w:bidi w:val="0"/>
        <w:jc w:val="both"/>
        <w:rPr>
          <w:rFonts w:ascii="Times New Roman" w:hAnsi="Times New Roman"/>
          <w:sz w:val="20"/>
        </w:rPr>
      </w:pPr>
      <w:r>
        <w:rPr>
          <w:rFonts w:ascii="Times New Roman" w:hAnsi="Times New Roman"/>
          <w:i/>
          <w:color w:val="000000"/>
          <w:sz w:val="20"/>
        </w:rPr>
        <w:t>Bridge Note Issuances to Agile Lending, LLC</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 of the December Agile Note, with a maturity date on the March Agile Note of November 12, 2025. The March Agile Note bears interest at a rate of 44%, and interest will be calculated on a three hundred and sixty (360) day year based on the actual number of days lapsed, and interest shall accrue on the March Agile Note commencing on and including the effective date pursuant to the March Agile Note Agreement’s weekly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12, 2025, the Company issued a subordinated secured promissory note (the “June Agile Note”) for an aggregate principal amount of $262,500 and received $250,000 of proceeds, net of administrative agent fees $12,500 to the collateral agent, with a maturity date of December 15, 2025 under the June Note. The June Note bears interest at a rate of 48%, and interest will be calculated on a three hundred and sixty (360) day year based on the actual number of days lapsed, and interest shall accrue on the June Note commencing on and including the effective date pursuant to the June Note Agreement's weekly repayment and amortization schedule.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Bridge Note Issuances to 1800 Diagonal Lending, LLC</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2024, the Company issued a second promissory note (the “September 1800 Diagonal Note”) for an aggregate principal amount of $124,200 and received $100,000 of proceeds, net of an original discount of $16,200 and issuance costs of $8,000 for due diligence and legal fees, with a maturity date of July 30, 2025. The stated interest rate on the September Note is 12% per annum, and interest shall accrue on the September Note commencing on and including the issuance date pursuant to the September Note Agreement's repayment and amortization schedule. On July 23, 2025, the Company exercised its conversion option under the September 1800 Diagonal Note. On the conversion date, the September 1800 Diagonal Note had a fair value of $17,000 and converted into 7,034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10, 2024, the Company issued a third promissory note (the “December 1800 Diagonal Note”) for an aggregate principal amount of $124,200 and received $100,000 of proceeds, net of an original discount of $16,200 and issuance costs of $8,000 for due diligence and legal fees, with a maturity date of October 15, 2025. The stated interest rate on the December Note is 12% per annum, and interest shall accrue on the December Note commencing on and including the issuance date pursuant to the December Note Agreement's repayment and amortization schedule. On July 22, 2025, the Company exercised its conversion option under the December 1800 Diagonal Note. On the conversion date, the December 1800 Diagonal Note had a fair value of $58,000 and converted into 19,986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 On August 11, 2025, the Company exercised its conversion option under the February 1800 Diagonal Note. On the conversion date, the February 1800 Diagonal Note had a fair value of $80,700 and converted into 32,780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17, 2025, the Company issued a fifth promissory note (the “April 1800 Diagonal Note”) for an aggregate principal amount of $230,000 and received $192,000 of proceeds, net of an original discount of $30,000 and issuance costs of $8,000 for due diligence and legal fees, with a maturity date of February 15, 2026. The stated interest rate on the April Note is 12% per annum, and interest shall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 on the April Note commencing on and including the issuance date pursuant to the April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$163,300 and received $135,000 of proceeds, net of an original discount of $21,300 and issuance costs of $7,000 for due diligence and legal fees, with a maturity date of February 15, 2026. The stated interest rate on the May Note is 12% per annum, and interest shall accrue on the May Note commencing on and including the issuance date pursuant to the May Note Agreement's repayment and amortization schedule.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Private Placement Offering (3i, 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The Buyer purchased (i) a Note in the aggregate original principal amount of $2,200,000 and (ii) a warrant to initially acquire up to 67,124 shares of Common Stock (the “Buyer Warrants”) (as exercised, collectively, the “Warrant Shares”).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The Private Placement Offering closed on June 30, 2025 (the “Initial Closing Date”) and the Company received proceeds of $1,725,000, net of original issue discount and issuance fees and costs.</w:t>
      </w:r>
    </w:p>
    <w:p>
      <w:pPr>
        <w:pStyle w:val="TextBody"/>
        <w:bidi w:val="0"/>
        <w:jc w:val="both"/>
        <w:rPr>
          <w:rFonts w:ascii="Times New Roman" w:hAnsi="Times New Roman"/>
          <w:color w:val="000000"/>
          <w:sz w:val="20"/>
        </w:rPr>
      </w:pPr>
      <w:r>
        <w:rPr>
          <w:rFonts w:ascii="Times New Roman" w:hAnsi="Times New Roman"/>
          <w:color w:val="000000"/>
          <w:sz w:val="20"/>
        </w:rPr>
        <w:t>The Notes were issued with an original issue discount of 10.0% and accrue interest at a rate of 10.0% per annum. The Notes mature twelve (12) months from the date of issuance, June 30, 2026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$0.11.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19, 2025, the parties held an additional closing pursuant to the terms of the Purchase Agreement (the “August Closing”). The Company issued an additional note in the original principal amount of $2,200,000, with an initial conversion price equal to $3.4891 per share and issuance date of August 19, 2025 (the “August Note”), and additional warrants to purchase up to 126,107 shares of Common Stock, at an initial exercise price equal to $3.4891 per share (the “August Warrants”), in the August Closing. The August Note matures on August 19, 2026. Other than the maturity date and the conversion and exercise price of the August Note and August Warrants, respectively, the August Note and August Warrants have the same terms as those issued on the Initial Closing Date.</w:t>
      </w:r>
    </w:p>
    <w:p>
      <w:pPr>
        <w:pStyle w:val="TextBody"/>
        <w:bidi w:val="0"/>
        <w:jc w:val="both"/>
        <w:rPr>
          <w:rFonts w:ascii="Times New Roman" w:hAnsi="Times New Roman"/>
          <w:color w:val="000000"/>
          <w:sz w:val="20"/>
        </w:rPr>
      </w:pPr>
      <w:r>
        <w:rPr>
          <w:rFonts w:ascii="Times New Roman" w:hAnsi="Times New Roman"/>
          <w:color w:val="000000"/>
          <w:sz w:val="20"/>
        </w:rPr>
        <w:t xml:space="preserve">In September 2025, as per the terms of the Notes and Warrants, the conversion price and exercise price was adjusted to $2.50.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8, 2025, the parties held an additional closing pursuant to the terms of the Purchase Agreement (the “October Closing”). The Company issued an additional note in the original principal amount of $2,500,000, with an initial conversion price equal to $2.50 per share and issuance date of October 8, 2025 (the “October Note”, together with the August Note and the Initial Note, are collectively referred to herein as the “Notes”), and additional warrants to purchase up to 200,000 shares of Common Stock, at an initial exercise price equal to $2.50 per share (the “October Warrants”, together with the August Warrants and the Initial Buyer Warrants, are collectively referred to herein as the “Buyer Warrants”), in the October Closing. The October Note matures on October 8, 2026. Other than the maturity date and the conversion and exercise price of the October Note and October Warrants, respectively, the October Note and October Warrants have the same terms as those issued on the August Closing and the Initial Closing Date.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At the Market Offering</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(the “Manager” or “Wainwright”), to sell its shares of Class A common stock, from time to time, in an “at the market offering” program through Wainwright, with certain limitations on the amount of Class A Common Stock (the “Shares”) that may be offered and sold thereunder. The sales, if any, of the Shares made under the ATM Agreement will be made by any method permitted by law deemed to be an “at the market offering” as defined in Rule 415(a)(4) promulgated under the Securities Act, including sales made directly on or through the Nasdaq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 (the “ATM”).</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Offers and sales of the Shares by the Company, if any, under the ATM Agreement, will be made through a prospectus supplement, dated August 27, 2025 and an accompanying base prospectus, dated August 8, 2025, contained therein (the “ATM Prospectus Supplement”), which ATM Prospectus Supplement forms a part of the Company’s shelf registration statement on Form S-3 (File 333-288908), as amended, initially filed by the Company with the U.S. Securities and Exchange Commission (the “SEC”) on July 23, 2025 (the “Registration Statement”) and declared effective by the SEC on August 8, 2025. The aggregate market value of the shares of Class A Common Stock eligible for sale under the ATM Prospectus Supplement is approximately $5.6 million as of November 11, 2025, which is based on the limitations of General Instruction I.B.6 of Form S-3.</w:t>
      </w:r>
    </w:p>
    <w:p>
      <w:pPr>
        <w:pStyle w:val="TextBody"/>
        <w:bidi w:val="0"/>
        <w:jc w:val="both"/>
        <w:rPr>
          <w:rFonts w:ascii="Times New Roman" w:hAnsi="Times New Roman"/>
          <w:color w:val="000000"/>
          <w:sz w:val="20"/>
        </w:rPr>
      </w:pPr>
      <w:r>
        <w:rPr>
          <w:rFonts w:ascii="Times New Roman" w:hAnsi="Times New Roman"/>
          <w:color w:val="000000"/>
          <w:sz w:val="20"/>
        </w:rPr>
        <w:t>Pursuant to the ATM Agreement, the Company will set the parameters for the sale of the Shares, including the number of Shares to be issued, the time period during which sales are requested to be made, limitation on the number of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Shares from time to time based upon the Company’s instructions. The Company has no obligation to sell any the Shares under the ATM Agreement and may at any time suspend solicitation and offers under the ATM Agreement. The Manager is not obligated to purchase any Shares on a principal basis pursuant to the ATM Agreement.</w:t>
      </w:r>
    </w:p>
    <w:p>
      <w:pPr>
        <w:pStyle w:val="TextBody"/>
        <w:bidi w:val="0"/>
        <w:jc w:val="both"/>
        <w:rPr>
          <w:rFonts w:ascii="Times New Roman" w:hAnsi="Times New Roman"/>
          <w:color w:val="000000"/>
          <w:sz w:val="20"/>
        </w:rPr>
      </w:pPr>
      <w:r>
        <w:rPr>
          <w:rFonts w:ascii="Times New Roman" w:hAnsi="Times New Roman"/>
          <w:color w:val="000000"/>
          <w:sz w:val="20"/>
        </w:rPr>
        <w:t>The ATM Agreement provides that the Company will pay the Manager commissions for its services for acting as agent in the sale of the Shares pursuant to the ATM Agreement. The Manager will be entitled to compensation at a fixed commission rate equal to up to 3.0% of the gross proceeds from the sale of the Shares pursuant to the ATM Agreement. The Company has agreed to provide the Manager and certain affiliates of the Manager with customary indemnification and contribution rights, including for liabilities under the Securities Act. Pursuant to the terms of the ATM Agreement, the Company has agreed to reimburse Wainwright for the reasonable fees and expenses of its legal counsel not to exceed $100,000 (excluding any periodic due diligence fees) incurred in connection with entering into the transactions contemplated by the ATM Agreement. Additionally, pursuant to the terms of the ATM Agreement, the Company has also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pStyle w:val="TextBody"/>
        <w:bidi w:val="0"/>
        <w:jc w:val="both"/>
        <w:rPr>
          <w:rFonts w:ascii="Times New Roman" w:hAnsi="Times New Roman"/>
          <w:color w:val="000000"/>
          <w:sz w:val="20"/>
        </w:rPr>
      </w:pPr>
      <w:r>
        <w:rPr>
          <w:rFonts w:ascii="Times New Roman" w:hAnsi="Times New Roman"/>
          <w:color w:val="000000"/>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jc w:val="both"/>
        <w:rPr>
          <w:rFonts w:ascii="Times New Roman" w:hAnsi="Times New Roman"/>
          <w:color w:val="000000"/>
          <w:sz w:val="20"/>
        </w:rPr>
      </w:pPr>
      <w:r>
        <w:rPr>
          <w:rFonts w:ascii="Times New Roman" w:hAnsi="Times New Roman"/>
          <w:color w:val="000000"/>
          <w:sz w:val="20"/>
        </w:rPr>
        <w:t>The ATM of the Shares pursuant to the ATM Agreement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31,884 shares of Class A common stock at $6.90 per share and 32,352 prefunded warrants (the "May 2025 Prefunded Warrants") at $3.40 per warrant. The May 2025 Prefunded Warrants were immediately exercised, resulting in the issuance of 32,352 shares of Class A common stock. The Company collected in aggregate $330,000 of gross proceeds from this private placement.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2024 Financings</w:t>
      </w:r>
    </w:p>
    <w:p>
      <w:pPr>
        <w:pStyle w:val="TextBody"/>
        <w:bidi w:val="0"/>
        <w:jc w:val="both"/>
        <w:rPr>
          <w:rFonts w:ascii="Times New Roman" w:hAnsi="Times New Roman"/>
          <w:color w:val="212529"/>
          <w:sz w:val="20"/>
        </w:rPr>
      </w:pPr>
      <w:r>
        <w:rPr>
          <w:rFonts w:ascii="Times New Roman" w:hAnsi="Times New Roman"/>
          <w:color w:val="212529"/>
          <w:sz w:val="20"/>
        </w:rPr>
        <w:t>On May 22, 2024, we priced a “best efforts” public offering for the sale by the Company of an aggregate of 10,456 shares of our Class A common stock, pre-funded warrants exercisable into 17,322 shares of Class A Common Stock (the “May Pre-Funded Warrants”), and common warrants exercisable into 27,778 shares of Class A Common Stock (the “Common Warrants”). The public offering price was $9.00 per aggregate share. The May Pre-Funded Warrants are exercisable immediately, may be exercised at any time until all of the May Pre-Funded Warrants are exercised in full, and have an exercise price of $0.0050. The Common Warrants are exercisable immediately for a term of five years and have an exercise price of $9.00.</w:t>
      </w:r>
    </w:p>
    <w:p>
      <w:pPr>
        <w:pStyle w:val="TextBody"/>
        <w:bidi w:val="0"/>
        <w:jc w:val="both"/>
        <w:rPr>
          <w:rFonts w:ascii="Times New Roman" w:hAnsi="Times New Roman"/>
          <w:color w:val="212529"/>
          <w:sz w:val="20"/>
        </w:rPr>
      </w:pPr>
      <w:r>
        <w:rPr>
          <w:rFonts w:ascii="Times New Roman" w:hAnsi="Times New Roman"/>
          <w:color w:val="212529"/>
          <w:sz w:val="20"/>
        </w:rPr>
        <w:t>A.G.P./Alliance Global Partners (“AGP”) acted as placement agent for the offering, pursuant to a placement agency agreement, dated May 22, 2024, between the Company and AGP (the “Placement Agency Agreement”). Under the Placement Agency Agreement, AGP received a cash fee of $174,939 and warrants (the “Placement Agent Warrants”) to purchase 1,667 shares of our Class A Common Stock at an exercise price per share equal to $10.00. The offering closed on May 28, 2024.</w:t>
      </w:r>
    </w:p>
    <w:p>
      <w:pPr>
        <w:pStyle w:val="TextBody"/>
        <w:bidi w:val="0"/>
        <w:jc w:val="left"/>
        <w:rPr>
          <w:rFonts w:ascii="Times New Roman" w:hAnsi="Times New Roman"/>
          <w:b/>
          <w:i/>
          <w:color w:val="000000"/>
          <w:sz w:val="20"/>
        </w:rPr>
      </w:pPr>
      <w:r>
        <w:rPr>
          <w:rFonts w:ascii="Times New Roman" w:hAnsi="Times New Roman"/>
          <w:b/>
          <w:i/>
          <w:color w:val="000000"/>
          <w:sz w:val="20"/>
        </w:rPr>
        <w:t>2024 Wainwright Private Financing</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September 24, 2024, the Company entered into a securities purchase agreement (the “Purchase Agreement”) with an institutional investor for the issuance and sale in a private placement (the “Private Placement”) of (i) pre-funded warrants (“HCW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Pre-Funded Warrants”) to purchase up to 117,647 shares of the Company’s Class A common stock, par value $0.0001 per share (the “Common Stock”), at an exercise price of $0.001 per share, (ii) Series A warrants (the “Series A Warrants”) to purchase up to 117,647 shares of Common Stock, at an exercise price of $4.00 per share, and (iii) Series B warrants (the “Series B Warrants” and together with the Series A Warrants and the Placement Agent Warrants (defined below), the “Warrants” ) to purchase up to 117,647 shares of Common Stock at an exercise price of $4.00 per share. The Series A Warrants are exercisable immediately upon issuance and have a term of exercise equal to five years from the date of issuance. The Series B Warrants are exercisable immediately upon issuance and have a term of exercise equal to eighteen (18) months from the date of issuance. The combined purchase price per HCW Pre-Funded Warrant and accompanying Warrants was $4.249. The Private Placement closed on September 26, 2024.</w:t>
      </w:r>
    </w:p>
    <w:p>
      <w:pPr>
        <w:pStyle w:val="TextBody"/>
        <w:bidi w:val="0"/>
        <w:jc w:val="both"/>
        <w:rPr>
          <w:rFonts w:ascii="Times New Roman" w:hAnsi="Times New Roman"/>
          <w:color w:val="212529"/>
          <w:sz w:val="20"/>
        </w:rPr>
      </w:pPr>
      <w:r>
        <w:rPr>
          <w:rFonts w:ascii="Times New Roman" w:hAnsi="Times New Roman"/>
          <w:color w:val="212529"/>
          <w:sz w:val="20"/>
        </w:rPr>
        <w:t>A holder of the HCW Pre-Funded Warrants and the Warrants may not exercise any portion of such holder’s HCW Pre-Funded Warrants or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certain fundamental transactions, holders of the Warrants will have the right to receive the Black Scholes Value of their Warrants calculated pursuant to a formula set forth in the Warrants, payable either in cash or in the same type or form of consideration that is being offered and being paid to the holders of Common Stock.</w:t>
      </w:r>
    </w:p>
    <w:p>
      <w:pPr>
        <w:pStyle w:val="TextBody"/>
        <w:bidi w:val="0"/>
        <w:jc w:val="both"/>
        <w:rPr>
          <w:rFonts w:ascii="Times New Roman" w:hAnsi="Times New Roman"/>
          <w:color w:val="212529"/>
          <w:sz w:val="20"/>
        </w:rPr>
      </w:pPr>
      <w:r>
        <w:rPr>
          <w:rFonts w:ascii="Times New Roman" w:hAnsi="Times New Roman"/>
          <w:color w:val="212529"/>
          <w:sz w:val="20"/>
        </w:rPr>
        <w:t>In connection with the Private Placement, the Company entered into a registration rights agreement (the “Registration Rights Agreement”), dated as of September 24, 2024, with the investor, pursuant to which the Company agreed to prepare and file a registration statement on Form S-1 to register the resale of the shares of Common Stock underlying the HCW Pre-Funded Warrants and the Warrants, and to use its best efforts to have the registration statement declared effective as promptly as practical thereafter, and in any event no later than forty-five (45) days following the date of the Registration Rights Agreement (or seventy-five (75) days following the date of the Registration Rights Agreement in the event of a “full review” by the SEC). The Company filed an initial registration statement on Form S-1 (File No. 333-282506) with the SEC on October 4, 2024 and it was declared effective on November 6, 2024.</w:t>
      </w:r>
    </w:p>
    <w:p>
      <w:pPr>
        <w:pStyle w:val="TextBody"/>
        <w:bidi w:val="0"/>
        <w:jc w:val="both"/>
        <w:rPr>
          <w:rFonts w:ascii="Times New Roman" w:hAnsi="Times New Roman"/>
          <w:color w:val="212529"/>
          <w:sz w:val="20"/>
        </w:rPr>
      </w:pPr>
      <w:r>
        <w:rPr>
          <w:rFonts w:ascii="Times New Roman" w:hAnsi="Times New Roman"/>
          <w:color w:val="212529"/>
          <w:sz w:val="20"/>
        </w:rPr>
        <w:t xml:space="preserve">The net proceeds to the Company from the Private Placement were approximately $4.4 million, after deducting placement agent fees and estimated offering expenses payable by the Company. The Company intends to use the net proceeds received from the Private Placement to support general corporate purposes and working capital. </w:t>
      </w:r>
    </w:p>
    <w:p>
      <w:pPr>
        <w:pStyle w:val="TextBody"/>
        <w:bidi w:val="0"/>
        <w:jc w:val="both"/>
        <w:rPr>
          <w:rFonts w:ascii="Times New Roman" w:hAnsi="Times New Roman"/>
          <w:color w:val="212529"/>
          <w:sz w:val="20"/>
        </w:rPr>
      </w:pPr>
      <w:r>
        <w:rPr>
          <w:rFonts w:ascii="Times New Roman" w:hAnsi="Times New Roman"/>
          <w:color w:val="212529"/>
          <w:sz w:val="20"/>
        </w:rPr>
        <w:t>Wainwright acted as the Company’s exclusive placement agent in connection with the Private Placement, pursuant to that certain engagement letter, dated as of September 12, 2024, as amended, between the Company and Wainwright (the “Engagement Letter”). Pursuant to the Engagement Letter, the Company paid Wainwright (i) a total cash fee equal to 7.5% of the aggregate gross proceeds of the Private Placement (inclusive of the gross proceeds to be received from the exercise of any Warrants), (ii) a management fee of 1.0% of the aggregate gross proceeds of the Private Placement (inclusive of the gross proceeds to be received from the exercise of any Warrants), and (iii) a non-accountable expense allowance of $50,000. In addition, the Company issued to Wainwright or its designees warrants (the “Placement Agent Warrants”) to purchase up to an aggregate of 8,824 shares of Common Stock at an exercise price equal to $5.3125 per share and, if any Warrants are exercised for cash will be obligated to issue to Wainwright additional Placement Agent Warrants equal to 7.5% of the total Warrants exercised, if any. The Placement Agent Warrants have substantially the same terms as the Warrants, are exercisable immediately upon issuance and have a term of exercise equal to five (5) years from the date of issuance.</w:t>
      </w:r>
    </w:p>
    <w:p>
      <w:pPr>
        <w:pStyle w:val="TextBody"/>
        <w:bidi w:val="0"/>
        <w:jc w:val="both"/>
        <w:rPr>
          <w:rFonts w:ascii="Times New Roman" w:hAnsi="Times New Roman"/>
          <w:color w:val="212529"/>
          <w:sz w:val="20"/>
        </w:rPr>
      </w:pPr>
      <w:r>
        <w:rPr>
          <w:rFonts w:ascii="Times New Roman" w:hAnsi="Times New Roman"/>
          <w:color w:val="212529"/>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The Company has also agreed not to effect any Variable Rate Transaction (as defined in the Purchase Agreement) until one (1) year after the effective date of the Registration Statement (subject to certain exceptions). Since the OR Merger requires the Company to issue shares to the OpenReel Stockholders and file a registration statement prior to the expiration of the aforesaid period, the Wainwright Investor agreed to waive the Protective Provisions (the "Waiver"). In consideration for the Waiver, the Company agreed to reduce the exercise price of the Warrants issued to the Wainwright Investor from $4.00 to $2.50 per share.</w:t>
      </w:r>
    </w:p>
    <w:p>
      <w:pPr>
        <w:pStyle w:val="TextBody"/>
        <w:bidi w:val="0"/>
        <w:jc w:val="both"/>
        <w:rPr>
          <w:rFonts w:ascii="Times New Roman" w:hAnsi="Times New Roman"/>
          <w:color w:val="212529"/>
          <w:sz w:val="20"/>
        </w:rPr>
      </w:pPr>
      <w:r>
        <w:rPr>
          <w:rFonts w:ascii="Times New Roman" w:hAnsi="Times New Roman"/>
          <w:color w:val="212529"/>
          <w:sz w:val="20"/>
        </w:rPr>
        <w:t>The Engagement Letter and the Purchase Agreement contain customary representations and warranties and agreements and obligations, conditions to closing and termination provisions. The foregoing descriptions of terms and conditions of the Purchase Agreement, the HCW Pre-Funded Warrants, the Series A Warrants, the Series B Warrants, the Placement Agent Warrants, and the Registration Rights Agreement do not purport to be complete and are qualified in their entirety by the full text of the form of the Purchase Agreement, the form of the HCW Pre-Funded Warrant, the form of the Series A Warrant, the form of the Series B Warrant, the form of the Placement Agent Warrant, and the form of the Registration Rights Agreement, which are attached hereto as Exhibits.</w:t>
      </w:r>
    </w:p>
    <w:p>
      <w:pPr>
        <w:pStyle w:val="TextBody"/>
        <w:bidi w:val="0"/>
        <w:jc w:val="both"/>
        <w:rPr>
          <w:rFonts w:ascii="Times New Roman" w:hAnsi="Times New Roman"/>
          <w:sz w:val="20"/>
        </w:rPr>
      </w:pPr>
      <w:r>
        <w:rPr>
          <w:rFonts w:ascii="Times New Roman" w:hAnsi="Times New Roman"/>
          <w:color w:val="212529"/>
          <w:sz w:val="20"/>
        </w:rPr>
        <w:t xml:space="preserve">Between January 1, 2024 and December 31, 2024, 11,453 shares of Class A Common Stock had been issued upon conversion of outstanding promissory notes issued to </w:t>
      </w:r>
      <w:r>
        <w:rPr>
          <w:rFonts w:ascii="Times New Roman" w:hAnsi="Times New Roman"/>
          <w:color w:val="000000"/>
          <w:sz w:val="20"/>
        </w:rPr>
        <w:t xml:space="preserve">YA II PN, LTD, a Cayman Islands exempt limited partnership managed by Yorkville Advisors Global, LP </w:t>
      </w:r>
      <w:r>
        <w:rPr>
          <w:rFonts w:ascii="Times New Roman" w:hAnsi="Times New Roman"/>
          <w:color w:val="212529"/>
          <w:sz w:val="20"/>
        </w:rPr>
        <w:t>and a cash payment of $750,000 was made in May 2024. The aggregate principal amount was fully satisfied such that there is no remaining balance under the Yorkville Promissory Notes as of December 31, 2024.</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212529"/>
          <w:sz w:val="20"/>
        </w:rPr>
      </w:pPr>
      <w:r>
        <w:rPr>
          <w:rFonts w:ascii="Times New Roman" w:hAnsi="Times New Roman"/>
          <w:b/>
          <w:i/>
          <w:color w:val="212529"/>
          <w:sz w:val="20"/>
        </w:rPr>
        <w:t>Debt Equitization Plan</w:t>
      </w:r>
    </w:p>
    <w:p>
      <w:pPr>
        <w:pStyle w:val="TextBody"/>
        <w:bidi w:val="0"/>
        <w:jc w:val="both"/>
        <w:rPr>
          <w:rFonts w:ascii="Times New Roman" w:hAnsi="Times New Roman"/>
          <w:color w:val="000000"/>
          <w:sz w:val="20"/>
        </w:rPr>
      </w:pPr>
      <w:r>
        <w:rPr>
          <w:rFonts w:ascii="Times New Roman" w:hAnsi="Times New Roman"/>
          <w:color w:val="000000"/>
          <w:sz w:val="20"/>
        </w:rPr>
        <w:t>From August 23, 2024 to December 31,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the Company agreed to register in a registration statement on Form S-1 and Shares that are exempt from registration. As of May 12, 2025 the Company has issued an aggregate of 1,597,944 Shares to the Creditors in exchange for the cancellation of an aggregate of $5,068,547 of debt.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Operating Metrics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management of our businesses, we identify, measure, and evaluate a variety of operating metrics, as described below. These key performance measures and operating metrics are not prepared in accordance with GAAP and may not be comparable to or calculated in the same way as other similarly titled measures and metrics used by other companies. Measurements are specific to the group being measured, i.e. total customers, new customers, or other cohorts.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percentage of Banzai’s revenue for the three and nine months ended September 30, 2025 and 2024 as compared to our other SaaS products.</w:t>
      </w:r>
    </w:p>
    <w:p>
      <w:pPr>
        <w:pStyle w:val="TextBody"/>
        <w:bidi w:val="0"/>
        <w:jc w:val="left"/>
        <w:rPr/>
      </w:pPr>
      <w:r>
        <w:rPr/>
        <w:t> </w:t>
      </w:r>
    </w:p>
    <w:tbl>
      <w:tblPr>
        <w:tblW w:w="9934" w:type="dxa"/>
        <w:jc w:val="left"/>
        <w:tblInd w:w="0" w:type="dxa"/>
        <w:tblLayout w:type="fixed"/>
        <w:tblCellMar>
          <w:top w:w="28" w:type="dxa"/>
          <w:left w:w="28" w:type="dxa"/>
          <w:bottom w:w="28" w:type="dxa"/>
          <w:right w:w="28" w:type="dxa"/>
        </w:tblCellMar>
      </w:tblPr>
      <w:tblGrid>
        <w:gridCol w:w="1021"/>
        <w:gridCol w:w="146"/>
        <w:gridCol w:w="374"/>
        <w:gridCol w:w="1471"/>
        <w:gridCol w:w="271"/>
        <w:gridCol w:w="146"/>
        <w:gridCol w:w="374"/>
        <w:gridCol w:w="1471"/>
        <w:gridCol w:w="271"/>
        <w:gridCol w:w="146"/>
        <w:gridCol w:w="356"/>
        <w:gridCol w:w="1399"/>
        <w:gridCol w:w="271"/>
        <w:gridCol w:w="146"/>
        <w:gridCol w:w="356"/>
        <w:gridCol w:w="1399"/>
        <w:gridCol w:w="31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Revenue Retention (“NRR”)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NRR is a metric Banzai uses to measure the revenue retention of its existing customer base. NRR calculates the change in revenue from existing customers by cohort over a period of time, after taking into account revenue lost due to customer churn and downgrades, and revenue gained due to upgrades and reactivations.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NRR is: NRR = (Revenue at the beginning of a period - Revenue lost from churn, and downgrades + Revenue gained from expansion and reactivation) / Revenue at the beginning of the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average monthly NRR for the three and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2"/>
        <w:gridCol w:w="146"/>
        <w:gridCol w:w="404"/>
        <w:gridCol w:w="1300"/>
        <w:gridCol w:w="271"/>
        <w:gridCol w:w="146"/>
        <w:gridCol w:w="404"/>
        <w:gridCol w:w="1300"/>
        <w:gridCol w:w="271"/>
        <w:gridCol w:w="146"/>
        <w:gridCol w:w="387"/>
        <w:gridCol w:w="1242"/>
        <w:gridCol w:w="271"/>
        <w:gridCol w:w="146"/>
        <w:gridCol w:w="387"/>
        <w:gridCol w:w="1242"/>
        <w:gridCol w:w="320"/>
      </w:tblGrid>
      <w:tr>
        <w:trPr/>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NRR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Average Customer Value (“ACV”)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ACV is a metric Banzai uses to calculate the total revenue that it can expect to generate from a customer in a year. ACV is commonly used in the SaaS industry to measure the value of a customer to a subscription-based company over a 12-month period.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uses ACV to segment its customers and to determine whether the value of new customers is growing or shrinking relative to the existing customer base. Banzai uses this information to make strategic decisions about pricing, marketing, and customer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ACV is: ACV = Total Annual Recurring Revenue (ARR) / Total Number Customers, where ARR is defined as annual run-rate revenue of subscription agreements from all customers measured at a point in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new customer ACV and total average ACV for the three and nine months ended September 30, 2025 and 2024.</w:t>
      </w:r>
    </w:p>
    <w:p>
      <w:pPr>
        <w:pStyle w:val="TextBody"/>
        <w:bidi w:val="0"/>
        <w:jc w:val="left"/>
        <w:rPr/>
      </w:pPr>
      <w:r>
        <w:rPr/>
        <w:t> </w:t>
      </w:r>
    </w:p>
    <w:tbl>
      <w:tblPr>
        <w:tblW w:w="10169" w:type="dxa"/>
        <w:jc w:val="left"/>
        <w:tblInd w:w="0" w:type="dxa"/>
        <w:tblLayout w:type="fixed"/>
        <w:tblCellMar>
          <w:top w:w="28" w:type="dxa"/>
          <w:left w:w="28" w:type="dxa"/>
          <w:bottom w:w="28" w:type="dxa"/>
          <w:right w:w="28" w:type="dxa"/>
        </w:tblCellMar>
      </w:tblPr>
      <w:tblGrid>
        <w:gridCol w:w="1756"/>
        <w:gridCol w:w="146"/>
        <w:gridCol w:w="497"/>
        <w:gridCol w:w="1348"/>
        <w:gridCol w:w="146"/>
        <w:gridCol w:w="146"/>
        <w:gridCol w:w="497"/>
        <w:gridCol w:w="1348"/>
        <w:gridCol w:w="146"/>
        <w:gridCol w:w="146"/>
        <w:gridCol w:w="473"/>
        <w:gridCol w:w="1282"/>
        <w:gridCol w:w="146"/>
        <w:gridCol w:w="146"/>
        <w:gridCol w:w="473"/>
        <w:gridCol w:w="1282"/>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Customer ACV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Average ACV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Acquisition Cost (“CAC”)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CAC is a financial metric Banzai uses to evaluate the average cost of acquiring a new customer. It includes marketing, sales, and other related expenses incurred while attracting and converting prospects into paying customers. CAC is a critical metric for Banzai to understand the efficiency and effectiveness of its marketing and sales efforts, as well as to ensure sustainable growth.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CAC is: CAC = Total Sales &amp; Marketing Cost / Number of Customers Acquired.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CAC for the three and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3"/>
        <w:gridCol w:w="146"/>
        <w:gridCol w:w="446"/>
        <w:gridCol w:w="1210"/>
        <w:gridCol w:w="146"/>
        <w:gridCol w:w="146"/>
        <w:gridCol w:w="446"/>
        <w:gridCol w:w="1210"/>
        <w:gridCol w:w="146"/>
        <w:gridCol w:w="146"/>
        <w:gridCol w:w="427"/>
        <w:gridCol w:w="1159"/>
        <w:gridCol w:w="146"/>
        <w:gridCol w:w="146"/>
        <w:gridCol w:w="427"/>
        <w:gridCol w:w="1159"/>
        <w:gridCol w:w="196"/>
      </w:tblGrid>
      <w:tr>
        <w:trPr/>
        <w:tc>
          <w:tcPr>
            <w:tcW w:w="2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Acquisition Cost (CAC)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Churn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Customer Churn % is the rate of customers who deactivate in a given period relative to the number of active customers at the beginning of such period or end of the prior period. Understanding drivers of churn allows Banzai to take measures to reduce the number of customers who deactivate and increase the overall rate of customer retention. There are two types of Churn % measured: Revenue churn and Customer (or logo) churn.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Churn % is: Churn % = [# or $ value of] Deactivations / [# or $ value of] Active Customers (Beginning of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revenue Churn and new customer (or logo) Churn for the three and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9"/>
        <w:gridCol w:w="146"/>
        <w:gridCol w:w="431"/>
        <w:gridCol w:w="1068"/>
        <w:gridCol w:w="271"/>
        <w:gridCol w:w="146"/>
        <w:gridCol w:w="431"/>
        <w:gridCol w:w="1068"/>
        <w:gridCol w:w="271"/>
        <w:gridCol w:w="146"/>
        <w:gridCol w:w="416"/>
        <w:gridCol w:w="1029"/>
        <w:gridCol w:w="271"/>
        <w:gridCol w:w="146"/>
        <w:gridCol w:w="416"/>
        <w:gridCol w:w="1029"/>
        <w:gridCol w:w="321"/>
      </w:tblGrid>
      <w:tr>
        <w:trPr/>
        <w:tc>
          <w:tcPr>
            <w:tcW w:w="2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Churn -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Churn - Customer (Logo)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Churn - Customer (Logo) represents the number of customers, whereas the non-Logo Churn is based on sales dollars.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Lifetime Value (“LTV”)</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LTV is a financial metric Banzai uses to estimate the total revenue it can expect to generate from a customer throughout their entire relationship. LTV helps Banzai understand the long-term value of each customer, enabling it to make informed decisions about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marketing, sales, customer support, and product development strategies. It also helps Banzai allocate resources more efficiently by identifying high-value customer segments to focus on growth and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LTV is comprised of two metrics: Monthly Recurring Revenue (MRR) and Customer Life represented in # of months. Calculations for these metrics on a per-customer basis,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MRR = ACV / 12</w:t>
      </w:r>
    </w:p>
    <w:p>
      <w:pPr>
        <w:pStyle w:val="TextBody"/>
        <w:bidi w:val="0"/>
        <w:jc w:val="both"/>
        <w:rPr>
          <w:rFonts w:ascii="Times New Roman" w:hAnsi="Times New Roman"/>
          <w:color w:val="000000"/>
          <w:sz w:val="20"/>
        </w:rPr>
      </w:pPr>
      <w:r>
        <w:rPr>
          <w:rFonts w:ascii="Times New Roman" w:hAnsi="Times New Roman"/>
          <w:color w:val="000000"/>
          <w:sz w:val="20"/>
        </w:rPr>
        <w:t>Customer Life (# of months) = 1 / Churn %</w:t>
      </w:r>
    </w:p>
    <w:p>
      <w:pPr>
        <w:pStyle w:val="TextBody"/>
        <w:bidi w:val="0"/>
        <w:jc w:val="both"/>
        <w:rPr>
          <w:rFonts w:ascii="Times New Roman" w:hAnsi="Times New Roman"/>
          <w:color w:val="000000"/>
          <w:sz w:val="20"/>
        </w:rPr>
      </w:pPr>
      <w:r>
        <w:rPr>
          <w:rFonts w:ascii="Times New Roman" w:hAnsi="Times New Roman"/>
          <w:color w:val="000000"/>
          <w:sz w:val="20"/>
        </w:rPr>
        <w:t>LTV = MRR * Customer Life (# of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MRR is calculated by aggregating, for all customers from customer base or the group being measured during that month, monthly revenue from committed contractual amounts. For customers on annual contracts, this represents their ACV divided by 12.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MRR, Customer Life, and LTV for the three and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0"/>
        <w:gridCol w:w="146"/>
        <w:gridCol w:w="483"/>
        <w:gridCol w:w="1311"/>
        <w:gridCol w:w="146"/>
        <w:gridCol w:w="146"/>
        <w:gridCol w:w="483"/>
        <w:gridCol w:w="1311"/>
        <w:gridCol w:w="146"/>
        <w:gridCol w:w="146"/>
        <w:gridCol w:w="461"/>
        <w:gridCol w:w="1249"/>
        <w:gridCol w:w="146"/>
        <w:gridCol w:w="146"/>
        <w:gridCol w:w="461"/>
        <w:gridCol w:w="1249"/>
        <w:gridCol w:w="195"/>
      </w:tblGrid>
      <w:tr>
        <w:trPr/>
        <w:tc>
          <w:tcPr>
            <w:tcW w:w="1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MRR (New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Life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LTV (New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LTV / CAC Ratio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LTV / CAC ratio is a culminating metric measuring the efficiency of Sales and Marketing activities in terms of the dollar value of new business generated versus the amount invested in order to generate that new business. This provides a measurement of ROI for Sales and Marketing activities. A segmented view of LTV / CAC ratio gives additional insight into the profitability of various business development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formula for calculating LTV / CAC ratio is: LTV / CAC for the segment or activity being measured.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LTV / CAC ratio for the three and nine months ended September 30, 2025 and 2024.</w:t>
      </w:r>
    </w:p>
    <w:p>
      <w:pPr>
        <w:pStyle w:val="TextBody"/>
        <w:bidi w:val="0"/>
        <w:jc w:val="left"/>
        <w:rPr/>
      </w:pPr>
      <w:r>
        <w:rPr/>
        <w:t> </w:t>
      </w:r>
    </w:p>
    <w:tbl>
      <w:tblPr>
        <w:tblW w:w="9959" w:type="dxa"/>
        <w:jc w:val="left"/>
        <w:tblInd w:w="0" w:type="dxa"/>
        <w:tblLayout w:type="fixed"/>
        <w:tblCellMar>
          <w:top w:w="28" w:type="dxa"/>
          <w:left w:w="28" w:type="dxa"/>
          <w:bottom w:w="28" w:type="dxa"/>
          <w:right w:w="28" w:type="dxa"/>
        </w:tblCellMar>
      </w:tblPr>
      <w:tblGrid>
        <w:gridCol w:w="1546"/>
        <w:gridCol w:w="146"/>
        <w:gridCol w:w="531"/>
        <w:gridCol w:w="1314"/>
        <w:gridCol w:w="146"/>
        <w:gridCol w:w="146"/>
        <w:gridCol w:w="531"/>
        <w:gridCol w:w="1314"/>
        <w:gridCol w:w="146"/>
        <w:gridCol w:w="146"/>
        <w:gridCol w:w="505"/>
        <w:gridCol w:w="1250"/>
        <w:gridCol w:w="146"/>
        <w:gridCol w:w="146"/>
        <w:gridCol w:w="505"/>
        <w:gridCol w:w="1250"/>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LTV / CAC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Analysis of the Impact of Key Business Drivers on Financial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strives to maximize revenue growth within a reasonable cost structure through optimizing and continuous monitoring of the key business metrics described above relative to SaaS industry benchmarks, Banzai’s direct competition, and historical company performance. This is accomplished through a combination of increased revenue per customer (higher ACVs and NRR) on an increasing customer base, generated through efficient customer acquisition (LTV / CAC ratio) and improved customer retention (lower churn, higher customer life). Other business activities contribute to improved performance and metrics, including but not limited to the following: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Customer Success and Onboarding, leading to maximum customer satisfaction and retention.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Development and Support, maximizing customer value, supporting usage and expansion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Company Initiatives, designed to improve trial experience and conversion rates, on-demand adoption, and emphasis on data to position our products as a system of automation and a system of record for our customers, supporting growth and retention.</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Identification of Operational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a number of key internal and external operational risks to the successful execution of Banzai’s strategy.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Internal risks include, among others: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Management and leadership issues: ineffective leadership, poor decision-making, or lack of direction.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Operational inefficiencies: inadequate processes and poor resource allocation may lead to decreased productivity or insufficient ROI.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mismanagement: inadequate financial planning, improper accounting practices, or excessive debt can lead to financial instability.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challenges: high turnover, lack of skilled staff, or internal conflicts can impact morale and productivity.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obsolescence: failing to develop (or adapt) to new technologies in anticipation or response to changes in market trends can lead to competitive disadvantages.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External risks include, among others: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Economic factors: including economic downturns, inflation, or currency fluctuations impacting business spending and overall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established industry players to new entrants, eroding market share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and regulatory: changes in laws or regulations that impact operations or increase compliance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disruptions: from advancements in technology leading to obsolescence of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Unforeseen events: including natural disasters, geo-political instability, and pandemics, potentially impacting market demand, operational or supply chain disruption.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Analysis of the Impact of Operational Risks on Financial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risk factors described above could have significant impacts on Banzai’s financial performance. These or other factors, including those risk factors summarized in the section titled “Risk Factors” could impact Banzai’s ability to generate and grow revenue, contain costs, or inhibit profitability, cash flow, and overall financial performance: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Revenue and Sales: Internal risks from operating inefficiency or external factors, including economic downturns or increased competition, could lead to lower sales, impaired unit economics, and reduced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Expenses: Internal operating mismanagement or external factors, including supplier issues, may cause increased cost relative to revenue generation, resulting in insufficient return on investment or profit margins.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continuing to conduct comprehensive risk monitoring and analysis on financial performance, Banzai can optimize its ability to make informed decisions and improve its ability to navigate internal and external challenges. Such activities include: identification and categorization of risks, quantification and analysis of potential severity, and development of risk mitigation strategies. It is also important for Banzai to ensure financial reports and disclosures accurately reflect the potential impact of risks on financial performance, essential for transparent communication with investors and stakeholders.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officers’ liability insurance, director fees and additional internal and external accounting, legal and administrative resources, including increased audit and legal fees. We are qualified as an “emerging growth company.” As a result, we have been provided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 for the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02"/>
        <w:gridCol w:w="146"/>
        <w:gridCol w:w="277"/>
        <w:gridCol w:w="972"/>
        <w:gridCol w:w="166"/>
        <w:gridCol w:w="146"/>
        <w:gridCol w:w="277"/>
        <w:gridCol w:w="972"/>
        <w:gridCol w:w="166"/>
        <w:gridCol w:w="146"/>
        <w:gridCol w:w="244"/>
        <w:gridCol w:w="857"/>
        <w:gridCol w:w="166"/>
        <w:gridCol w:w="146"/>
        <w:gridCol w:w="206"/>
        <w:gridCol w:w="894"/>
        <w:gridCol w:w="922"/>
      </w:tblGrid>
      <w:tr>
        <w:trPr/>
        <w:tc>
          <w:tcPr>
            <w:tcW w:w="3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GEM settlement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release of Vidello revenue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conversion and settlement of Alco promissory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conversion and settlement of CP BF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bifurcated embedded derivative assets-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Vidello earnout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Failed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that are not considered meaningful are presented as “nm".</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Components of results of operations for the nine months ended September 30, 2025 and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8614" w:type="dxa"/>
        <w:jc w:val="left"/>
        <w:tblInd w:w="0" w:type="dxa"/>
        <w:tblLayout w:type="fixed"/>
        <w:tblCellMar>
          <w:top w:w="28" w:type="dxa"/>
          <w:left w:w="28" w:type="dxa"/>
          <w:bottom w:w="28" w:type="dxa"/>
          <w:right w:w="28" w:type="dxa"/>
        </w:tblCellMar>
      </w:tblPr>
      <w:tblGrid>
        <w:gridCol w:w="1486"/>
        <w:gridCol w:w="146"/>
        <w:gridCol w:w="473"/>
        <w:gridCol w:w="1282"/>
        <w:gridCol w:w="146"/>
        <w:gridCol w:w="146"/>
        <w:gridCol w:w="473"/>
        <w:gridCol w:w="1282"/>
        <w:gridCol w:w="146"/>
        <w:gridCol w:w="146"/>
        <w:gridCol w:w="307"/>
        <w:gridCol w:w="833"/>
        <w:gridCol w:w="146"/>
        <w:gridCol w:w="146"/>
        <w:gridCol w:w="232"/>
        <w:gridCol w:w="908"/>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Banzai reported total revenue of approximately $9,351 thousand, representing an increase of approximately $6,123 thousand, or approximately 189.7%, compared to the period ended September 30, 2024. This increase is primarily attributable to the revenue generated by the acquisitions of OpenReel and Vidello and an increase in Reach revenue of approximately $46 thousand, OpenReel revenues of approximately $4,184 thousand and Vidello revenues were approximately $1,852 thousand for the nine months ended September 30,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8614" w:type="dxa"/>
        <w:jc w:val="left"/>
        <w:tblInd w:w="0" w:type="dxa"/>
        <w:tblLayout w:type="fixed"/>
        <w:tblCellMar>
          <w:top w:w="28" w:type="dxa"/>
          <w:left w:w="28" w:type="dxa"/>
          <w:bottom w:w="28" w:type="dxa"/>
          <w:right w:w="28" w:type="dxa"/>
        </w:tblCellMar>
      </w:tblPr>
      <w:tblGrid>
        <w:gridCol w:w="1486"/>
        <w:gridCol w:w="146"/>
        <w:gridCol w:w="473"/>
        <w:gridCol w:w="1282"/>
        <w:gridCol w:w="146"/>
        <w:gridCol w:w="146"/>
        <w:gridCol w:w="473"/>
        <w:gridCol w:w="1282"/>
        <w:gridCol w:w="146"/>
        <w:gridCol w:w="146"/>
        <w:gridCol w:w="379"/>
        <w:gridCol w:w="761"/>
        <w:gridCol w:w="146"/>
        <w:gridCol w:w="146"/>
        <w:gridCol w:w="271"/>
        <w:gridCol w:w="869"/>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and 2024, Banzai’s cost of revenue totaled approximately $1,680 thousand and approximately $1,049 thousand, respectively. This represents an increase of approximately $631 thousand, or approximately 60.2%, for the nine months ended September 30, 2025 as compared to the nine months ended September 30, 2024. This increase is due primarily attributable to the additional costs of OpenReel and Vidello products which were approximately $233 thousand and $324 thousand, respectively.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8614" w:type="dxa"/>
        <w:jc w:val="left"/>
        <w:tblInd w:w="0" w:type="dxa"/>
        <w:tblLayout w:type="fixed"/>
        <w:tblCellMar>
          <w:top w:w="28" w:type="dxa"/>
          <w:left w:w="28" w:type="dxa"/>
          <w:bottom w:w="28" w:type="dxa"/>
          <w:right w:w="28" w:type="dxa"/>
        </w:tblCellMar>
      </w:tblPr>
      <w:tblGrid>
        <w:gridCol w:w="1486"/>
        <w:gridCol w:w="146"/>
        <w:gridCol w:w="473"/>
        <w:gridCol w:w="1282"/>
        <w:gridCol w:w="146"/>
        <w:gridCol w:w="146"/>
        <w:gridCol w:w="473"/>
        <w:gridCol w:w="1282"/>
        <w:gridCol w:w="146"/>
        <w:gridCol w:w="146"/>
        <w:gridCol w:w="307"/>
        <w:gridCol w:w="833"/>
        <w:gridCol w:w="146"/>
        <w:gridCol w:w="146"/>
        <w:gridCol w:w="232"/>
        <w:gridCol w:w="908"/>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and 2024, Banzai’s gross profit was approximately $7,671 thousand and approximately $2,179 thousand, respectively. This represents an increase of approximately $5,492 thousand, or approximately 252.0% due to the increase in revenue of approximately $6,123 thousand and increase in cost of revenue of approximately $631 thousand described above.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9289" w:type="dxa"/>
        <w:jc w:val="left"/>
        <w:tblInd w:w="0" w:type="dxa"/>
        <w:tblLayout w:type="fixed"/>
        <w:tblCellMar>
          <w:top w:w="28" w:type="dxa"/>
          <w:left w:w="28" w:type="dxa"/>
          <w:bottom w:w="28" w:type="dxa"/>
          <w:right w:w="28" w:type="dxa"/>
        </w:tblCellMar>
      </w:tblPr>
      <w:tblGrid>
        <w:gridCol w:w="2161"/>
        <w:gridCol w:w="146"/>
        <w:gridCol w:w="417"/>
        <w:gridCol w:w="1338"/>
        <w:gridCol w:w="146"/>
        <w:gridCol w:w="146"/>
        <w:gridCol w:w="417"/>
        <w:gridCol w:w="1338"/>
        <w:gridCol w:w="146"/>
        <w:gridCol w:w="146"/>
        <w:gridCol w:w="271"/>
        <w:gridCol w:w="869"/>
        <w:gridCol w:w="146"/>
        <w:gridCol w:w="146"/>
        <w:gridCol w:w="271"/>
        <w:gridCol w:w="869"/>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for the nine months ended September 30, 2025 and 2024, were approximately $21.8 million and approximately $11.7 million, respectively, an increase of approximately $10.1 million, or 86.3%. This increase was due primarily to the additions of OpenReel and Vidello expenses which were approximately $4.0 million and $0.9 million, respectively. Additionally the increase was due to an overall increase in salaries and related expenses by approximately $1.8 million, marketing expenses by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approximately $0.8 million, and costs associated with audit, technical accounting, and legal and other professional services of approximately $1.8 million.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9714" w:type="dxa"/>
        <w:jc w:val="left"/>
        <w:tblInd w:w="0" w:type="dxa"/>
        <w:tblLayout w:type="fixed"/>
        <w:tblCellMar>
          <w:top w:w="28" w:type="dxa"/>
          <w:left w:w="28" w:type="dxa"/>
          <w:bottom w:w="28" w:type="dxa"/>
          <w:right w:w="28" w:type="dxa"/>
        </w:tblCellMar>
      </w:tblPr>
      <w:tblGrid>
        <w:gridCol w:w="2566"/>
        <w:gridCol w:w="146"/>
        <w:gridCol w:w="473"/>
        <w:gridCol w:w="1282"/>
        <w:gridCol w:w="146"/>
        <w:gridCol w:w="146"/>
        <w:gridCol w:w="417"/>
        <w:gridCol w:w="1338"/>
        <w:gridCol w:w="146"/>
        <w:gridCol w:w="146"/>
        <w:gridCol w:w="253"/>
        <w:gridCol w:w="887"/>
        <w:gridCol w:w="166"/>
        <w:gridCol w:w="146"/>
        <w:gridCol w:w="246"/>
        <w:gridCol w:w="894"/>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Banzai reported total other income of approximately $3.2 million. The change in other expenses (income), net was primarily driven by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GEM settlement commitment fee expense of approximately $0.2 million during the nine months ended September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$4.5 million recognized during the nine months ended September 30, 2025 compared to $0.7 million recognized during the nine months ended September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$2.6 million during the nine months ended September 30, 2025 compared to $0.6 million during the nine months ended September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term notes of approximately $1.8 million during the nine months ended September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warrant liability recorded as a loss (third party &amp; related party) of approximately $0.2 during the nine months ended September 30, 2025 compared to a gain of $1.0 million during the nine months ended September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(third party and related party) decreased by approximately $1.6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 in fair value of convertible promissory notes recorded as a gain of approximately $0.3 million during the nine months ended September 30, 2025 compared to a loss of approximately $0.6 million during the nine months ended September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 in fair value of term notes recorded as a loss of approximately $0.4 million during the nine months ended September 30,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Yorkville prepayment premium expense and loss on SEPA advances to Yorkville of approximately $0.9 million during the nine months ended September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on the failed Act On acquisition costs of $1.4 million during the nine months ended September 30,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conversion and settlement of CP BF notes of approximately $6.5 million during the nine months ended September 30,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conversion and settlement of Alco promissory notes of approximately $4.8 million during the nine months ended September 30, 2024.</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8855" w:type="dxa"/>
        <w:jc w:val="left"/>
        <w:tblInd w:w="0" w:type="dxa"/>
        <w:tblLayout w:type="fixed"/>
        <w:tblCellMar>
          <w:top w:w="28" w:type="dxa"/>
          <w:left w:w="28" w:type="dxa"/>
          <w:bottom w:w="28" w:type="dxa"/>
          <w:right w:w="28" w:type="dxa"/>
        </w:tblCellMar>
      </w:tblPr>
      <w:tblGrid>
        <w:gridCol w:w="1726"/>
        <w:gridCol w:w="146"/>
        <w:gridCol w:w="584"/>
        <w:gridCol w:w="1171"/>
        <w:gridCol w:w="146"/>
        <w:gridCol w:w="146"/>
        <w:gridCol w:w="878"/>
        <w:gridCol w:w="878"/>
        <w:gridCol w:w="146"/>
        <w:gridCol w:w="146"/>
        <w:gridCol w:w="379"/>
        <w:gridCol w:w="761"/>
        <w:gridCol w:w="146"/>
        <w:gridCol w:w="146"/>
        <w:gridCol w:w="202"/>
        <w:gridCol w:w="938"/>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Banzai’s reported provision for income tax benefit was $113 thousand. Banzai reported a provision for income tax expense for the nine months ended September 30, 2024 of $7 thousand.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Banzai's history of losses since inception, there is not enough evidence at this time to support that Banzai will generate future income of a sufficient amount and nature to utilize the benefits of its net deferred tax assets. Accordingly, the deferred tax assets have been reduced by a full valuation allowance, since Banzai cannot currently support that realization of its deferred tax assets is more likely than not.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September 30, 2025, Banzai had no unrecognized tax benefits that would reduce Banzai's effective tax rate if recognized.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Loss Analysis</w:t>
      </w:r>
    </w:p>
    <w:p>
      <w:pPr>
        <w:pStyle w:val="TextBody"/>
        <w:bidi w:val="0"/>
        <w:jc w:val="both"/>
        <w:rPr/>
      </w:pPr>
      <w:r>
        <w:rPr/>
        <w:t> </w:t>
      </w:r>
    </w:p>
    <w:tbl>
      <w:tblPr>
        <w:tblW w:w="8654" w:type="dxa"/>
        <w:jc w:val="left"/>
        <w:tblInd w:w="0" w:type="dxa"/>
        <w:tblLayout w:type="fixed"/>
        <w:tblCellMar>
          <w:top w:w="28" w:type="dxa"/>
          <w:left w:w="28" w:type="dxa"/>
          <w:bottom w:w="28" w:type="dxa"/>
          <w:right w:w="28" w:type="dxa"/>
        </w:tblCellMar>
      </w:tblPr>
      <w:tblGrid>
        <w:gridCol w:w="1486"/>
        <w:gridCol w:w="146"/>
        <w:gridCol w:w="390"/>
        <w:gridCol w:w="1365"/>
        <w:gridCol w:w="166"/>
        <w:gridCol w:w="146"/>
        <w:gridCol w:w="390"/>
        <w:gridCol w:w="1365"/>
        <w:gridCol w:w="166"/>
        <w:gridCol w:w="146"/>
        <w:gridCol w:w="307"/>
        <w:gridCol w:w="833"/>
        <w:gridCol w:w="146"/>
        <w:gridCol w:w="146"/>
        <w:gridCol w:w="246"/>
        <w:gridCol w:w="894"/>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and 2024, Banzai reported net losses of approximately $17.5 million and approximately $23.7 million, respectively. The increase in net loss is primarily due to an increase in total other expenses (income), net of approximately $10.9 million during the nine months ended September 30, 2025 compared to the nine months ended September 30, 2024, in addition to an increase in operating expenses of approximately $10.1 million, and an increase in gross profit of $5.5 million.</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condensed consolidated financial statements prospectively from the date of the change in the estimate.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the following accounting policies are those most critical to the judgments and estimates used in the determination of opening balances in purchase accounting for business combinations, and in preparation of our financial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Impairment of 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2024, the Company had two operating segments, which were deemed to be its reporting units, for the purpose of evaluating goodwill impairment, and the annual impairment test is performed as of December 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annual impairment testing date of December 31, 2024, the Company bypassed the qualitative assessment and proceeded directly to the quantitative impairment test based on the stock price of the Company on the measurement date and economic uncertainty. To perform the quantitative assessment, the Company engaged a third-party service provider to assist management with the determination of the fair value of the Company. The Company estimated fair value of equity using the market capitalization method of the market approach, consideration of initiatives unknown by the market and evaluation of any implied control premium. Management further supported the conclusions by assessing a combination of an income valuation methodology, comprising a discounted cash flow analysis and market valuation methodologies, comprising the guideline public company and guideline transaction methods.</w:t>
      </w:r>
    </w:p>
    <w:p>
      <w:pPr>
        <w:pStyle w:val="TextBody"/>
        <w:bidi w:val="0"/>
        <w:jc w:val="both"/>
        <w:rPr>
          <w:rFonts w:ascii="Times New Roman" w:hAnsi="Times New Roman"/>
          <w:color w:val="000000"/>
          <w:sz w:val="20"/>
        </w:rPr>
      </w:pPr>
      <w:r>
        <w:rPr>
          <w:rFonts w:ascii="Times New Roman" w:hAnsi="Times New Roman"/>
          <w:color w:val="000000"/>
          <w:sz w:val="20"/>
        </w:rPr>
        <w:br/>
        <w:t xml:space="preserve">The market capitalization method calculated the aggregate market value of the Company based on the total number of outstanding shares of common and preferred stock and the market prices of the shares as of the assessment date. The Company evaluated conditions that were unknown by the market as of the assessment date and how a market participant would evaluate an implied control premium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Company. The implied control premium was supported using a discounted cash flow analysis that contemplated the present value of assumed market participant cost savings and synergies.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the quantitative assessment indicated that the carrying amount of the Company's OpenReel reporting unit exceeded its fair value, which resulted in an impairment loss of $2.7 million at December 31, 2024.</w:t>
      </w:r>
    </w:p>
    <w:p>
      <w:pPr>
        <w:pStyle w:val="TextBody"/>
        <w:bidi w:val="0"/>
        <w:jc w:val="both"/>
        <w:rPr>
          <w:rFonts w:ascii="Times New Roman" w:hAnsi="Times New Roman"/>
          <w:color w:val="000000"/>
          <w:sz w:val="20"/>
        </w:rPr>
      </w:pPr>
      <w:r>
        <w:rPr>
          <w:rFonts w:ascii="Times New Roman" w:hAnsi="Times New Roman"/>
          <w:color w:val="000000"/>
          <w:sz w:val="20"/>
        </w:rPr>
        <w:b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will continue evaluating the economic conditions at future reporting periods for triggering events.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Business combinations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Level 3 recurring fair value measurements of financial instruments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Various elements of our accounting policies, by their nature, are inherently subject to estimation techniques, valuation assumptions and other subjective assessments. In particular, we have identified the following policies that, due to the judgment, estimates and assumptions inherent in those policies, are critical to an understanding of our condensed consolidated financial statements. These policies relate to fair value measurements, particularly certain fair value measurements determined to be Level 3 as discussed in </w:t>
      </w:r>
      <w:r>
        <w:rPr>
          <w:rFonts w:ascii="Times New Roman" w:hAnsi="Times New Roman"/>
          <w:i/>
          <w:color w:val="000000"/>
          <w:sz w:val="20"/>
        </w:rPr>
        <w:t>Note 7</w:t>
      </w:r>
      <w:r>
        <w:rPr>
          <w:rFonts w:ascii="Times New Roman" w:hAnsi="Times New Roman"/>
          <w:color w:val="000000"/>
          <w:sz w:val="20"/>
        </w:rPr>
        <w:t>, Fair Value Measurements, in the Notes to the Condensed Consolidated Financial Statements and valuation and realization of deferred tax assets. We believe that the judgment, estimates and assumptions used in the preparation of our condensed consolidated financial statements are appropriate given the factual circumstances at the time. However, given the sensitivity of these critical accounting policies on our condensed consolidated financial statements, the use of other judgments, estimates and assumptions could result in material differences in our results of operations or financial condition. Fair value measurements considered to be Level 3 representing estimated values based on significant unobservable inputs primarily include (i) the valuation of acquisition related earnout liabilities, (ii) the valuation of warrant liabilities, and (iii) valuation of term notes and convertible notes recognized at fair value.</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 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Non-GAAP measures should not be considered in isolation or as a substitute for analysis of our results as reported under GAAP. We endeavor to compensate for the limitation of Adjusted EBITDA, by also providing the most directly comparable GAAP measure,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 Analysis for the nine months ended September 30, 2025 and 2024</w:t>
      </w:r>
    </w:p>
    <w:p>
      <w:pPr>
        <w:pStyle w:val="TextBody"/>
        <w:bidi w:val="0"/>
        <w:jc w:val="both"/>
        <w:rPr/>
      </w:pPr>
      <w:r>
        <w:rPr/>
        <w:t> </w:t>
      </w:r>
    </w:p>
    <w:tbl>
      <w:tblPr>
        <w:tblW w:w="9336" w:type="dxa"/>
        <w:jc w:val="left"/>
        <w:tblInd w:w="0" w:type="dxa"/>
        <w:tblLayout w:type="fixed"/>
        <w:tblCellMar>
          <w:top w:w="28" w:type="dxa"/>
          <w:left w:w="28" w:type="dxa"/>
          <w:bottom w:w="28" w:type="dxa"/>
          <w:right w:w="28" w:type="dxa"/>
        </w:tblCellMar>
      </w:tblPr>
      <w:tblGrid>
        <w:gridCol w:w="2146"/>
        <w:gridCol w:w="146"/>
        <w:gridCol w:w="439"/>
        <w:gridCol w:w="1317"/>
        <w:gridCol w:w="166"/>
        <w:gridCol w:w="146"/>
        <w:gridCol w:w="439"/>
        <w:gridCol w:w="1317"/>
        <w:gridCol w:w="166"/>
        <w:gridCol w:w="146"/>
        <w:gridCol w:w="347"/>
        <w:gridCol w:w="793"/>
        <w:gridCol w:w="166"/>
        <w:gridCol w:w="146"/>
        <w:gridCol w:w="271"/>
        <w:gridCol w:w="869"/>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nine months ended September 30, 2025, Banzai’s Adjusted EBITDA was approximately $5.6 million, reflecting a decrease in the earnings of approximately $0.8 million compared to a loss of approximately $4.8 million for the nine months ended September 30, 2024. This period-over-period decrease is primarily attributable to increased gain on extinguishments of liabilities offset by loss on issuance of term notes, loss on issuance of private placement and increased transaction related expenses.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 for the nine months ended September 30, 2025 and 2024</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5"/>
        <w:gridCol w:w="146"/>
        <w:gridCol w:w="304"/>
        <w:gridCol w:w="1065"/>
        <w:gridCol w:w="166"/>
        <w:gridCol w:w="146"/>
        <w:gridCol w:w="304"/>
        <w:gridCol w:w="1065"/>
        <w:gridCol w:w="166"/>
        <w:gridCol w:w="146"/>
        <w:gridCol w:w="277"/>
        <w:gridCol w:w="833"/>
        <w:gridCol w:w="166"/>
        <w:gridCol w:w="146"/>
        <w:gridCol w:w="174"/>
        <w:gridCol w:w="936"/>
        <w:gridCol w:w="320"/>
      </w:tblGrid>
      <w:tr>
        <w:trPr/>
        <w:tc>
          <w:tcPr>
            <w:tcW w:w="3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20950.0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commitment fee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release of Vidello revenue holdback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convertible bridge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and settlement of Alco promissory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conversion and settlement of CP BF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bifurcated embedded derivative assets-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bridge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Vidello earnout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Failed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17333.3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Yorkville prepayment premium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include</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2461"/>
        <w:gridCol w:w="146"/>
        <w:gridCol w:w="473"/>
        <w:gridCol w:w="1282"/>
        <w:gridCol w:w="146"/>
        <w:gridCol w:w="146"/>
        <w:gridCol w:w="473"/>
        <w:gridCol w:w="1282"/>
        <w:gridCol w:w="146"/>
        <w:gridCol w:w="146"/>
        <w:gridCol w:w="284"/>
        <w:gridCol w:w="856"/>
        <w:gridCol w:w="166"/>
        <w:gridCol w:w="146"/>
        <w:gridCol w:w="232"/>
        <w:gridCol w:w="908"/>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inception, Banzai has financed its operations primarily from the sales of redeemable convertible preferred stock and convertible promissory notes, and proceeds from senior secured loans. As of September 30, 2025, Banzai had cash of approximately $0.9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Banzai has incurred losses since its inception, had a working capital deficit of approximately $23.8 million as of September 30, 2025, and had an accumulated deficit at September 30, 2025 totaling approximately $95.7 million. As of September 30, 2025, Banzai had approximately $3.3 million and approximately $11.1 million aggregate principal amount outstanding on term/promissory notes and convertible notes, respectively. During the nine months ended September 30, 2025, Banzai raised additional capital under the SEPA of approximately $17.7 million through the issuance of shares to fund the Company's operations.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Banzai’s intends to seek additional funding through the SEPA arrangement, ATM Agreement and other equity financings in 2025. If Banzai is unable to raise such funding, Banzai will have to pursue an alternative course of action to seek additional capital through other debt and equity financing. Subsequent to September 30, 2025, the Company completed the following activities. The Company issued the October 3i Note for $2.5 million in principal, receiving proceeds of $</w:t>
      </w:r>
      <w:r>
        <w:rPr>
          <w:rFonts w:ascii="Times New Roman" w:hAnsi="Times New Roman"/>
          <w:color w:val="212529"/>
          <w:sz w:val="20"/>
        </w:rPr>
        <w:t xml:space="preserve">2,010,909, and issued the </w:t>
      </w:r>
      <w:r>
        <w:rPr>
          <w:rFonts w:ascii="Times New Roman" w:hAnsi="Times New Roman"/>
          <w:color w:val="000000"/>
          <w:sz w:val="20"/>
        </w:rPr>
        <w:t>November 1800 Diagonal Note for an aggregate principal amount of $238,050 and received $200,000 of proceeds. The Company settled Advance Notices received subsequent to September 30, 2025, by selling an aggregate of 180,000 shares of Class A Common Stock to Yorkville for an aggregate total purchase price of approximately $568,381. The Company converted to equity $191,487 of debt principal on the June 3i Note, fully converting the outstanding balance at September 30, 2025, $733,332 of debt principal on the August 3i Note, and $391,666 of debt principal on the Octobe 3i Note. The Company converted to equity $265,100 of debt principal on the April 1800 Diagonal Note, following such conversions the April 1800 Diagonal Note was fully converted. The Company converted to equity $167,116 of its obligations under the 2024 CP BF Convertible Note. The Company converted $545,551 against the oustanding Yorkville Convertible Notes to equity. The Company raised $1,310,738 in proceeds from equity issuances under the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Banzai is unable to raise sufficient additional capital, through future debt or equity financings or through strategic and collaborative ventures with third parties, Banzai will not have sufficient cash flows and liquidity to fund its planned business for 12 months from the issuance of these financial statements, including the inability to close the Act On acquisition. There can be no assurances that Banzai will be able to secure alternate forms of financing at terms that are acceptable to management. In that event, Banzai might be forced to limit many of its business plans and consider other means of creating value for its stockholders. Based on the factors described above, and after considering management’s plans, there is substantial doubt about Banzai’s ability to continue as a going concern within one year from the date the financial statements were available to be issued.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Cash flows for the nine months ended September 30, 2025 and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Banzai’s cash flows for the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86"/>
        <w:gridCol w:w="146"/>
        <w:gridCol w:w="310"/>
        <w:gridCol w:w="1086"/>
        <w:gridCol w:w="166"/>
        <w:gridCol w:w="146"/>
        <w:gridCol w:w="310"/>
        <w:gridCol w:w="1086"/>
        <w:gridCol w:w="166"/>
        <w:gridCol w:w="146"/>
        <w:gridCol w:w="247"/>
        <w:gridCol w:w="865"/>
        <w:gridCol w:w="166"/>
        <w:gridCol w:w="146"/>
        <w:gridCol w:w="208"/>
        <w:gridCol w:w="903"/>
        <w:gridCol w:w="322"/>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Nine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Period-over-</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Period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nine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approximately $13.4 million for the nine months ended September 30, 2025. Net cash used in operating activities consists of net loss of approximately $17.5 million, offset by total adjustments of approximately $4.0 million for non-cash items and the effect of changes in working capital. Non-cash adjustments primarily included stock compensation expense of approximately $1.8 million, gain on extinguishment of liability of approximately $4.5 million, loss on issuances of debt of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approximately $2.8 million, loss on extinguishment of term notes of approximately $1.8 million, non-cash interest expense of approximately $2.0 million, fair value adjustment of convertible promissory notes of approximately $0.2 million, fair value adjustment of term notes of approximately $0.4 million, consulting expenses paid via share issuance of approximately $1.0 million, depreciation and amortization of intangible assets of approximately $0.8 million and net of change in operating assets and liabilities of approximately $1.3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investing activities was approximately $2.7 million for the nine months ended September 30, 2025 and was related to the net cash paid in the acquisition of 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$15.9 million for the nine months ended September 30, 2025, and was primarily related to proceeds from convertible debt financing of approximately $9.0 million, net proceeds from the issuance of term notes of approximately $4.3 million, proceeds from issuance of shares under the SEPA agreement of approximately $17.7 million, repayment of term notes of approximately $7.7 million, partial repayment of convertible notes with a related party of approximately $2.8 million, repayment of Yorkville convertible notes of approximately $3.6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nine months ended September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$5.4 million for the nine months ended September 30, 2024. Net cash used in operating activities consists of net loss of approximately $23.7 million, offset by total adjustments of approximately $18.3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$0.3 million, non-cash share issuance for Yorkville redemption premium of approximately $0.1 million, stock-based compensation expense of approximately $0.5 million, gain on extinguishment of liability of approximately $0.7 million, loss on issuance of debt of approximately $0.2 million, loss on issuance of term notes of approximately $0.4 million, loss on issuance of convertible bridge notes of approximately $0.1 million, non-cash interest expense of approximately $1.3 million (approximately $1.18 million for related party), amortization of debt discount and issuance costs of approximately $1.4 million (approximately $1.4 million for related party), amortization of operating lease ROU assets of approximately $0.1 million, fair value adjustment for warrant liabilities gain of approximately $1.1 million (gain of approximately $0.5 million for related party), fair value adjustment of convertible promissory notes of approximately $0.7 million, and net of change in operating assets and liabilities of approximately $3.5 million.</w:t>
      </w:r>
    </w:p>
    <w:p>
      <w:pPr>
        <w:pStyle w:val="TextBody"/>
        <w:bidi w:val="0"/>
        <w:jc w:val="both"/>
        <w:rPr>
          <w:rFonts w:ascii="Times New Roman" w:hAnsi="Times New Roman"/>
          <w:color w:val="000000"/>
          <w:sz w:val="20"/>
        </w:rPr>
      </w:pPr>
      <w:r>
        <w:rPr>
          <w:rFonts w:ascii="Times New Roman" w:hAnsi="Times New Roman"/>
          <w:color w:val="000000"/>
          <w:sz w:val="20"/>
        </w:rPr>
        <w:t>There were no net cash investing activities for the nine months ended September 30, 2024.</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$7.5 million for the nine months ended September 30, 2024, and was primarily related to proceeds from convertible debt financing of approximately $2.5 million, net proceeds from issuance of common stock of approximately $6.3 million, net proceeds from the issuance of term notes of approximately $1.0 million, proceeds from related party advance of approximately $0.1 million, repayment of notes payable, carried at fair value of approximately $0.4 million, repayment of Yorkville convertible notes of approximately $0.8 million, and payment of the GEM commitment fee of approximately $1.2 million.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Capital Expenditure Commitments and Financing Requirements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70"/>
        <w:gridCol w:w="146"/>
        <w:gridCol w:w="211"/>
        <w:gridCol w:w="676"/>
        <w:gridCol w:w="146"/>
        <w:gridCol w:w="146"/>
        <w:gridCol w:w="309"/>
        <w:gridCol w:w="993"/>
        <w:gridCol w:w="146"/>
        <w:gridCol w:w="146"/>
        <w:gridCol w:w="249"/>
        <w:gridCol w:w="674"/>
        <w:gridCol w:w="193"/>
      </w:tblGrid>
      <w:tr>
        <w:trPr/>
        <w:tc>
          <w:tcPr>
            <w:tcW w:w="6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1 - 3 Years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- 1800 Diagonal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principal - 15.5% CB PF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ASC 470 Debt, the Company treated the Old CP BF Notes as extinguished and recognized a loss on debt extinguishment of $6,529,402, determined by the sum of the fair value of the 2024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CP BF Convertible Note, plus the fair value of the additional equity consideration given as part of the side letter and share purchase agreement, as discussed below, in excess of the carrying value of the Old CP BF Notes. After consideration of the below transactions it was determined CP BF is a related party as they own approximately 16% of the outstanding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7,000 shares of the Company's Class A Common Stock. On September 23, 2024 the transaction was finalized and the Company issued the 2024 CP BF Convertible Note with a principal amount of $10,758,775. Pursuant to the CP BF SPA, CP BF agreed to convert $2,000,000 in debt into 26,084 shares of Class A Common Stock, CP BF Warrants to purchase up to 56,555 shares of Class A Common Stock and CP BF Pre-Funded Warrants to purchase up to 30,470 shares of Class A Common Stock (all such securities and shares collectively referred to as the “CP BF Registrable Securities”).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$38.90. Upon the occurrence, and during the continuance, of an Event of Default (as defined in the agreement), interest on the 2024 CP BF Convertible Note will bear PIK interest at a per annum rate of 20% (“2024 Default Rate”).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w:t>
      </w:r>
    </w:p>
    <w:p>
      <w:pPr>
        <w:pStyle w:val="TextBody"/>
        <w:bidi w:val="0"/>
        <w:spacing w:before="200" w:after="283"/>
        <w:jc w:val="both"/>
        <w:rPr>
          <w:rFonts w:ascii="Times New Roman" w:hAnsi="Times New Roman"/>
          <w:sz w:val="20"/>
        </w:rPr>
      </w:pPr>
      <w:r>
        <w:rPr>
          <w:rFonts w:ascii="Times New Roman" w:hAnsi="Times New Roman"/>
          <w:b/>
          <w:i/>
          <w:color w:val="000000"/>
          <w:sz w:val="20"/>
        </w:rPr>
        <w:t>Debt principal - GEM Promissory Note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 xml:space="preserve">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15, 2024, the Company issued additional 15,000 shares to settle partial unpaid GEM promissory note balance. As of September 30, 2025, the Company has issued an aggregate of 19,000 shares of Class A Common Stock to GEM in lieu of monthly payment obligations and during the three and nine months ending September 30, 2025 paid the remaining balance of the GEM Promissory Note of $215,057.</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Term Notes (Agile)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and Agile Capital Funding, LLC as the collateral agent. On July 22, 2024, the Company issued a subordinated secured promissory note (the “July Agile Note”) for an aggregate principal amount of $787,500 and received $750,000 of proceeds, net of administrative agent fees $37,500 to the collateral agent, with a maturity date of February 5, 2025 under the subordinated business loan and security agreement. The loan under the agreement bears interest at a rate of 42% and will be calculated on a three hundred and sixty (360) day year based on the actual number of days lapsed, and interest shall accrue on the loan commencing on and including the effective date pursuant to the Agreement's weekly repayment and amortization schedule.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13, 2024, the Company entered into a subordinated business loan and security agreement (the "September Subordinated Business Loan and Security Agreement") with Agile Lending, LLC and Agile Capital Funding, LLC as the collateral agent. On September 13, 2024, the Company issued a subordinated secured promissory note (the “September Agile Note”) for an aggregate principal amount of $262,500 and received $250,000 of proceeds, net of administrative agent fees $12,500 to the collateral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agent, with a maturity date of March 3, 2025 under the September Note. The September Note bears interest at a rate of 48%, and interest will be calculated on a three hundred and sixty (360) day year based on the actual number of days lapsed, and interest shall accrue on the September Note commencing on and including the effective date pursuant to the September Note Agreement's weekly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$2,400,000 and received $1,782,438 of proceeds, net of administrative agent fees of $120,000 paid to the collateral agent, and net of payments to Agile Lending, LLC of $319,500 and $178,063 in respect to early prepayment of the remaining outstanding balances of the July Agile Note and September Agile Note, with a maturity date on the December Agile Note of July 10, 2025. The December Agile Note bears interest at a rate of 44%, and interest will be calculated on a three hundred and sixty (360) day year based on the actual number of days lapsed, and interest shall accrue on the December Agile Note commencing on and including the effective date pursuant to the December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$4,000,000 and received $2,044,105 of proceeds, net of administrative agent fees of $200,000 paid to the collateral agent, and net of payments to Agile Lending, LLC of $1,755,895 in respect to early prepayment of the remaining outstanding balances of the December Agile Note, with a maturity date on the March Agile Note of November 12, 2025. The March Agile Note bears interest at a rate of 44%, and interest will be calculated on a three hundred and sixty (360) day year based on the actual number of days lapsed, and interest shall accrue on the March Agile Note commencing on and including the effective date pursuant to the March Agile Note Agreement’s weekly repayment and amortization schedule.</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$262,500 and received $250,000 of proceeds, net of administrative agent fees $12,500 to the collateral agent, with a maturity date of December 15, 2025 under the June Note. The June Note bears interest at a rate of 48%, and interest will be calculated on a three hundred and sixty (360) day year based on the actual number of days lapsed, and interest shall accrue on the June Note commencing on and including the effective date pursuant to the June Note Agreement's weekly repayment and amortization schedule.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July Agile Note, the September Agile Note, the December Agile Note, the March Agile Note, and the June Agile Note are together referred to as the “Agile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collateral under the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Agile Notes include contingent redemption (put) rights which trigger mandatory prepayment and a make-whole premium upon certain events including an event of default, and defaulted contingent interest upon an event of default.</w:t>
      </w:r>
    </w:p>
    <w:p>
      <w:pPr>
        <w:pStyle w:val="TextBody"/>
        <w:bidi w:val="0"/>
        <w:jc w:val="both"/>
        <w:rPr>
          <w:rFonts w:ascii="Times New Roman" w:hAnsi="Times New Roman"/>
          <w:sz w:val="20"/>
        </w:rPr>
      </w:pPr>
      <w:r>
        <w:rPr>
          <w:rFonts w:ascii="Times New Roman" w:hAnsi="Times New Roman"/>
          <w:color w:val="000000"/>
          <w:sz w:val="20"/>
        </w:rPr>
        <w:t xml:space="preserve">Due to the contingent redemption put feature and default interest embedded feature within the Agile Notes, the Company elected to account for the Agile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$817,721 and $1,499,649 for the three and nine months ending September 30, 2025, respectively and is included in the fair value of the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(1800 Diagonal)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16, 2024, the Company entered into a securities purchase agreement and promissory note agreement (the "August Securities Purchase Agreement") with 1800 Diagonal Lending LLC (“Lender”). On August 16, 2024 the Company issued a promissory note (the “August 1800 Diagonal Note”) for an aggregate principal amount of $184,000 and received $152,000 of proceeds, net of an original issue discount of $24,000 and issuance costs of $8,000 for due diligence and legal fees, with a maturity date of June 15, 2025. The August Securities Purchase Agreement stipulates that the Company and Lender may mutually agree to enter into additional tranches of promissory notes over the 12 month period commencing on August 16, 2024, up to an aggregate total of $750,000. The stated interest rate on the August Note is 12% per annum, and interest shall accrue on the August Note commencing on and including the issuance date pursuant to the August Agreement's monthly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2024, the Company issued a second promissory note (the “September 1800 Diagonal Note”) for an aggregate principal amount of $124,200 and received $100,000 of proceeds, net of an original discount of $16,200 and issuance costs of $8,000 for due diligence and legal fees, with a maturity date of July 30, 2025. The stated interest rate on the September Note is 12% per annum, and interest shall accrue on the September Note commencing on and including the issuance date pursuant to the September Note Agreement's repayment and amortization schedule. On July 23, 2025, the Company exercised its conversion option under the September 1800 Diagonal Note. On the conversion date, the September 1800 Diagonal Note had a fair value of $17,000 and converted into 7,034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10, 2024, the Company issued a third promissory note (the “December 1800 Diagonal Note”) for an aggregate principal amount of $124,200 and received $100,000 of proceeds, net of an original discount of $16,200 and issuance costs of $8,000 for due diligence and legal fees, with a maturity date of October 15, 2025. The stated interest rate on the December Note is 12% per annum, and interest shall accrue on the December Note commencing on and including the issuance date pursuant to the December Note Agreement's repayment and amortization schedule. On July 22, 2025, the Company exercised its conversion option under the December 1800 Diagonal Note. On the conversion date, the Dectember 1800 Diagonal Note had a fair value of $58,000 and converted into 19,986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$124,200 and received $100,000 of proceeds, net of an original discount of $16,200 and issuance costs of $8,000 for due diligence and legal fees, with a maturity date of December 15, 2025. The stated interest rate on the February Note is 12% per annum, and interest shall accrue on the February Note commencing on and including the issuance date pursuant to the February Note Agreement's repayment and amortization schedule. On August 11, 2025, the Company exercised its conversion option under the February 1800 Diagonal Note. On the conversion date, the February 1800 Diagonal Note had a fair value of $80,700 and converted into 32,780 shares of the Company's Class A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$230,000 and received $192,000 of proceeds, net of an original discount of $30,000 and issuance costs of $8,000 for due diligence and legal fees, with a maturity date of February 15, 2026. The stated interest rate on the April Note is 12% per annum, and interest shall accrue on the April Note commencing on and including the issuance date pursuant to the April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$163,300 and received $135,000 of proceeds, net of an original discount of $21,300 and issuance costs of $7,000 for due diligence and legal fees, with a maturity date of February 15, 2026. The stated interest rate on the May Note is 12% per annum, and interest shall accrue on the May Note commencing on and including the issuance date pursuant to the May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23, 2025, the Company issued a seventh promissory note (the “July 1800 Diagonal Note”) for an aggregate principal amount of $295,500 and received $250,000 of proceeds, net of an original discount of $38,500 and issuance costs of $7,000 for due diligence and legal fees, with a maturity date of May 30, 2026. The stated interest rate on the May Note is 12% per annum, and interest shall accrue on the July Note commencing on and including the issuance date pursuant to the July Note Agreement's repayment and amortization schedule.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1800 Diagonal Note”) for an aggregate principal amount of $151,800 and received $125,000 of proceeds, net of an original discount of $19,800 and issuance costs of $7,000 for due diligence and legal fees, with a maturity date of June 15, 2026. The stated interest rate on the September Note is 14% per annum, and interest shall accrue on the September Note commencing on and including the issuance date pursuant to the September Note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April 1800 Diagonal Note, the May 1800 Diagonal Note, the July 1800 Diagonal Note, and the September 1800 Diagonal Note are together referred to as the “1800 Diagonal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agreements, all or any portion of the 1800 Diagonal Notes that are then-outstanding,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1800 Diagonal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1800 Diagonal Notes, the Company elected to account for the 1800 Diagonal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$54,835 and $71,505 for the three and nine months ending September 30, 2025 and is included in the fair value of the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 Offering (3i, LP)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Notes shall be convertible into shares of the Company's Class A Common Stock, par value $0.0001 (the shares of Common Stock issuable pursuant to the terms of the Notes, including, without limitation, upon conversion or otherwise, collectively, the “Conversion Shares”), in accordance with the terms of the Notes. 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The Private Placement Offering closed on June 30, 2025 (the “Closing Date”). Refer to </w:t>
      </w:r>
      <w:r>
        <w:rPr>
          <w:rFonts w:ascii="Times New Roman" w:hAnsi="Times New Roman"/>
          <w:i/>
          <w:color w:val="212529"/>
          <w:sz w:val="20"/>
        </w:rPr>
        <w:t>Note 16 - Equity</w:t>
      </w:r>
      <w:r>
        <w:rPr>
          <w:rFonts w:ascii="Times New Roman" w:hAnsi="Times New Roman"/>
          <w:color w:val="212529"/>
          <w:sz w:val="20"/>
        </w:rPr>
        <w:t>, for further description of the Warrants issued in the Private Placement Offering.</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The Company issued an initial Note (the "June 3i Note") in the aggregate original principal amount of $2,200,000 against the aggregate maximum under the Purchase Agreement with an initial conversion price of $2.50 per share and a warrant to initially acquire up to 67,124 shares of Common Stock (the “Buyer Warrants”) (as exercised, collectively, the “Warrant Shares”) at an exercise price of $2.50 per share. The Company received proceeds of $1,725,000, net of original issue discount and issuance fees and costs. The Company intends to use the net proceeds received from the Offering for general corporate purposes and working capital.</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Notes were issued with an original issue discount of 10.0% and accrue interest at a rate of 10.0% per annum. The Notes mature twelve (12) months from the date of issuance, June 30, 2026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Note is subject to a floor price of $0.11.</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19, 2025, the parties held an additional closing pursuant to the terms of the Purchase Agreement (the “Second Closing”). The Company issued an additional note (the "August 3i Note") in the original principal amount of $2,200,000, with an initial conversion price equal to $3.4891 per share and issuance date of August 19, 2025 (the Additional Note and the Initial Note, are collectively referred to herein as the “Notes”), and Additional Warrants to purchase up to 126,107 shares of Common Stock, at an initial exercise price equal to $3.4891 per share (the “Additional Warrants and the Initial Buyer Warrants, are collectively referred to herein as the “Buyer Warrants”), in the Second Closing. The Additional Note matures on August 19, 2026. Other than the maturity date and the conversion and exercise price of the Additional Note and Additional Warrants, respectively, the Additional Note and Additional Warrants have the same terms as those issued on the Initial Closing Date. </w:t>
      </w:r>
      <w:r>
        <w:rPr>
          <w:rFonts w:ascii="Times New Roman" w:hAnsi="Times New Roman"/>
          <w:color w:val="212529"/>
          <w:sz w:val="20"/>
        </w:rPr>
        <w:t>The initial net proceeds to the Company from the August 2025 Note were approximately $1.762 million, after the original issuance discount and deducting financial advisory fees and estimated offering expenses payable by the Company. The Company intends to use the net proceeds received from the Offering for general corporate purposes and working capital.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August 2025 Note was issued with an original issue discount of 10.0% (the “OID”), as was the Note issued on the Initial Closing Date and accrue interest at a rate of 10.0% per annum. The August 2025 Note matures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Additional Note is subject to a floor price of $1.10.</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In addition, if an Event of Default (as defined in the Notes) has occurred under the Notes,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Due to these embedded features within the Private Placement Convertible Notes, the Company elected to account for the Private Placement Convertible Notes at fair value at their respective dates of issuance and in subsequent reporting periods, pursuant to ASC 825 </w:t>
      </w:r>
      <w:r>
        <w:rPr>
          <w:rFonts w:ascii="Times New Roman" w:hAnsi="Times New Roman"/>
          <w:i/>
          <w:color w:val="000000"/>
          <w:sz w:val="20"/>
        </w:rPr>
        <w:t>Financial Instruments</w:t>
      </w:r>
      <w:r>
        <w:rPr>
          <w:rFonts w:ascii="Times New Roman" w:hAnsi="Times New Roman"/>
          <w:color w:val="000000"/>
          <w:sz w:val="20"/>
        </w:rPr>
        <w:t xml:space="preserve">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condensed consolidated statements of operations and comprehensive loss statement in a single line item.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$1,193,231 for the three and nine months ending September 30, 2025 and is included in the fair value of the notes.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on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on debt totals $4.1 million for the nine months ended September 30, 2025, representing the aggregate interest expenses / payments obligation to be paid and to be recognized during the rest of the terms of the Loan Agreements and Notes, described above.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has an operating lease for its real estate for office use. The lease term expires in October 2027. Banzai adopted ASC 842 Leases by applying the guidance at adoption date, January 1, 2022. The $25,046 balance recognized as of September 30, 2025 represents the future minimum lease payments under non-cancellable leases as liabilities.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Debt Structure and Maturity Profile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92"/>
        <w:gridCol w:w="146"/>
        <w:gridCol w:w="211"/>
        <w:gridCol w:w="676"/>
        <w:gridCol w:w="146"/>
        <w:gridCol w:w="146"/>
        <w:gridCol w:w="558"/>
        <w:gridCol w:w="1273"/>
        <w:gridCol w:w="166"/>
        <w:gridCol w:w="146"/>
        <w:gridCol w:w="252"/>
        <w:gridCol w:w="809"/>
        <w:gridCol w:w="146"/>
        <w:gridCol w:w="146"/>
        <w:gridCol w:w="276"/>
        <w:gridCol w:w="752"/>
        <w:gridCol w:w="146"/>
        <w:gridCol w:w="146"/>
        <w:gridCol w:w="398"/>
        <w:gridCol w:w="1276"/>
        <w:gridCol w:w="198"/>
      </w:tblGrid>
      <w:tr>
        <w:trPr/>
        <w:tc>
          <w:tcPr>
            <w:tcW w:w="2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Debt Premium (Discount) / Issuance 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Carrying Value and Accrued Interest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- 1800 Diagonal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carrying values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Agile Notes, 1800 Diagonal Notes, Private Placement Notes and Yorkville Note are presented at its fair value on the condensed consolidated balance sheets.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ASC 606, revenue is recognized throughout the life of the executed agreement. Banzai measures revenue based on considerations specified in terms and conditions agreed to by a customer. Furthermore, Banzai recognizes revenue in an amount that reflects the consideration we expect to be entitled to in exchange for those services. The performance obligation is satisfied by transferring control of the service to the customer, which occurs over time.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Banzai’s existing lease contains an escalation clause. Prior to adoption of ASU 2016-02 effective January 1, 2022, Banzai accounted for operating lease transactions by recording lease expense on a straight-line basis over the expected term of the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entered into a sublease which it had identified as an operating lease prior to the adoption of ASC 842 Leases. Banzai remains the primary obligor to the head lease lessor, making rental payments directly to the lessor and separately billing the sublessee. The sublease is subordinated to the master lease, and the sublessee must comply with all applicable terms of the master lease. Banzai subleased the real estate to a third-party at a monthly rental payment amount that was less than the monthly cost that it pays on the headlease with the lessor.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GEM commitment fee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2022, the Company entered into a Share Purchase Agreement with GEM Global Yield LLC SCS and GEM Yield Bahamas Limited (collectively, “GEM”) (the “GEM Agreement”) pursuant to which, among other things, upon the terms and subject to the conditions of the GEM Agreement, GEM is to purchase from the Company (or its successor following a Reverse Merger Transaction (as defined in the GEM Agreement)) up to the number of duly authorized, validly issued, fully paid and non-assessable shares of common stock having an aggregate value of $100,000,000 (the “GEM Financing”). Further, in terms of the GEM Agreement, on the Public Listing Date, the Company was required to make and execute a warrant ("GEM Warrant") granting GEM the right to purchase up to the number of common shares of the Company that would be equal to 3% of the total equity interests, calculated on a fully diluted basis, and at an exercise price per share equal to the lesser of (i) the public offering price or closing bid price on the date of public listing or (ii) the quotient obtained by dividing $650 million by the total number of equity interests.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13, 2023, the Company and GEM entered into a binding term sheet (the “GEM Term Sheet”) and, on December 14, 2023, a letter agreement (the “GEM Letter”), agreeing to terminate in its entirety the GEM Agreement by and between the Company and GEM, other than with respect to the Company’s obligation (as the post-combination company in the Merger) to issue the GEM Warrant granting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debenture having been executed, as of September 30, 2025, the Company recognized, concurrent with the close of the merger, a liability for the GEM commitment fee, along with a corresponding GEM commitment fee expense, in the amount of $2.0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note in the amount of $1.0 million, payable in monthly installments of $100,000 beginning on March 1, 2024, with the final payment to be made on December 1, 2024 (the “GEM Promissory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4,000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As of the date of these condensed consolidated financial statements, we have issued an aggregate of 19,000 shares of Class A Common Stock to GEM in lieu of monthly payment obligations.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had no off-balance sheet arrangements as of September 30, 2025.</w:t>
      </w:r>
    </w:p>
    <w:p>
      <w:pPr>
        <w:pStyle w:val="TextBody"/>
        <w:bidi w:val="0"/>
        <w:jc w:val="both"/>
        <w:rPr/>
      </w:pPr>
      <w:r>
        <w:rPr/>
        <w:t> </w:t>
      </w:r>
    </w:p>
    <w:p>
      <w:pPr>
        <w:pStyle w:val="TextBody"/>
        <w:bidi w:val="0"/>
        <w:jc w:val="left"/>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September 30, 2025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in our IT General Controls, adherence to the COSO Integrated Framework, and period end financial close and reporting process as described in our Annual Report on Form 10-K for the year ended December 31, 2024, as filed with the SEC on April 15, 2025 (the “2024 10-K").</w:t>
      </w:r>
    </w:p>
    <w:p>
      <w:pPr>
        <w:pStyle w:val="TextBody"/>
        <w:bidi w:val="0"/>
        <w:jc w:val="both"/>
        <w:rPr>
          <w:rFonts w:ascii="Times New Roman" w:hAnsi="Times New Roman"/>
          <w:color w:val="000000"/>
          <w:sz w:val="20"/>
        </w:rPr>
      </w:pPr>
      <w:r>
        <w:rPr>
          <w:rFonts w:ascii="Times New Roman" w:hAnsi="Times New Roman"/>
          <w:color w:val="000000"/>
          <w:sz w:val="20"/>
        </w:rPr>
        <w:t>We are committed to the remediation of the material weaknesses as well as the continued improvement of our internal control over financial reporting. We are in the process of taking steps to remediate the identified material weaknesses and continue to evaluate our internal controls over financial reporting, as disclosed in the 2024 10-K.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we continue our evaluation and improve our internal control over financial reporting, management may identify and take additional measures to address control deficiencies. We cannot assure you that we will be successful in remediating the material weaknesses in a timely manner.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13a-15(d) of the Exchange Act, our management, including our principal executive officer and our principal financial officer, conducted an evaluation of the internal control over financial reporting to determine whether any changes occurred during the nine months ended September 30, 2025, that have materially affected, or are reasonably likely to materially affect, our internal control over financial reporting. Based on that evaluation, our principal executive officer and principal financial officer concluded that the merger transaction with Vidello is considered a significant corporate event during the nine months ended September 30, 2025.</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31, 2025, our company closed and completed a merger with Vidello Limited ("Vidello"), a private limited company registered in England and Wales, pursuant to an Merger Agreement (the "Vidello Merger Agreement"), dated December 19, 2024, by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among Vidello, and certain shareholders of Vidello (the "Vidello Shareholders"). As a result, there have been material changes to our internal control environment. Our management has begun to assess and adjust our internal control processes to accommodate the integration of systems, personnel, and financial reporting functions. We will work on implementing additional controls to address the combined entity’s financial reporting requirements, ensuring accuracy, reliability, and compliance. While we believe these adjustments will enhance our overall control framework, we continue to monitor and evaluate their effectiveness to maintain the highest standards of financial reporting integrity.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changes noted above regarding our steps to remediate our material weaknesses and the Vidello merger, there were no other changes in our internal control over financial reporting (as the term is defined in Rules 13a-15(f) and 15d-15(f) under the Exchange Act) during the nine months ended September 30, 2025 that have materially affected, or is reasonably likely to materially affect, the Company’s internal control over financial reporting.</w:t>
      </w:r>
    </w:p>
    <w:p>
      <w:pPr>
        <w:pStyle w:val="TextBody"/>
        <w:bidi w:val="0"/>
        <w:jc w:val="both"/>
        <w:rPr/>
      </w:pPr>
      <w:r>
        <w:rPr/>
        <w:t> </w:t>
      </w:r>
    </w:p>
    <w:p>
      <w:pPr>
        <w:pStyle w:val="TextBody"/>
        <w:bidi w:val="0"/>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jc w:val="center"/>
        <w:rPr/>
      </w:pPr>
      <w:r>
        <w:rPr/>
        <w:t> </w:t>
      </w:r>
    </w:p>
    <w:p>
      <w:pPr>
        <w:pStyle w:val="TextBody"/>
        <w:bidi w:val="0"/>
        <w:jc w:val="left"/>
        <w:rPr>
          <w:rFonts w:ascii="Times New Roman" w:hAnsi="Times New Roman"/>
          <w:b/>
          <w:color w:val="000000"/>
          <w:sz w:val="20"/>
        </w:rPr>
      </w:pPr>
      <w:bookmarkStart w:id="12" w:name="item_1_legal_proceedings"/>
      <w:bookmarkEnd w:id="12"/>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2024 as supplemented and updated by subsequent quarterly reports on Form 10-Q and current reports on Form 8-K that we have filed or will file with the SEC. Please also see the risk factor stated below.</w:t>
      </w:r>
    </w:p>
    <w:p>
      <w:pPr>
        <w:pStyle w:val="TextBody"/>
        <w:bidi w:val="0"/>
        <w:jc w:val="both"/>
        <w:rPr>
          <w:rFonts w:ascii="Times New Roman" w:hAnsi="Times New Roman"/>
          <w:b/>
          <w:i/>
          <w:color w:val="000000"/>
          <w:sz w:val="20"/>
        </w:rPr>
      </w:pPr>
      <w:r>
        <w:rPr>
          <w:rFonts w:ascii="Times New Roman" w:hAnsi="Times New Roman"/>
          <w:b/>
          <w:i/>
          <w:color w:val="000000"/>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jc w:val="both"/>
        <w:rPr>
          <w:rFonts w:ascii="Times New Roman" w:hAnsi="Times New Roman"/>
          <w:color w:val="000000"/>
          <w:sz w:val="20"/>
        </w:rPr>
      </w:pPr>
      <w:r>
        <w:rPr>
          <w:rFonts w:ascii="Times New Roman" w:hAnsi="Times New Roman"/>
          <w:color w:val="000000"/>
          <w:sz w:val="20"/>
        </w:rPr>
        <w:t>Nasdaq Marketplace Rule 5550(a)(2) requires a minimum bid price of $1.00 per share for primary equity securities listed on the Nasdaq Capital Market (the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To regain compliance with the Minimum Bid Price Rule, the Company effected a reverse stock split at a ratio of 1-for-50, effective as of September 19, 2024 (the “September Reverse Stock Split”). Subsequently, the Company effected a 1-for-10 reverse stock split of the shares of the Company’s common stock, effective as of July 8, 2025 (the “July Reverse Stock Split”). Following the July Reverse Stock Split, the bid price of the Company’s common stock surpassed $1.00 per share. However, we have not yet been notified that we regained compliance with the Minimum Bid Price Requirement and cannot guarantee that Nasdaq will decide that we have.</w:t>
      </w:r>
    </w:p>
    <w:p>
      <w:pPr>
        <w:pStyle w:val="TextBody"/>
        <w:bidi w:val="0"/>
        <w:jc w:val="both"/>
        <w:rPr>
          <w:rFonts w:ascii="Times New Roman" w:hAnsi="Times New Roman"/>
          <w:sz w:val="20"/>
        </w:rPr>
      </w:pPr>
      <w:r>
        <w:rPr>
          <w:rFonts w:ascii="Times New Roman" w:hAnsi="Times New Roman"/>
          <w:color w:val="000000"/>
          <w:sz w:val="20"/>
        </w:rPr>
        <w:t xml:space="preserve">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w:t>
      </w:r>
      <w:r>
        <w:rPr>
          <w:rFonts w:ascii="Times New Roman" w:hAnsi="Times New Roman"/>
          <w:i/>
          <w:color w:val="000000"/>
          <w:sz w:val="20"/>
        </w:rPr>
        <w:t>Rule 5810</w:t>
      </w:r>
      <w:r>
        <w:rPr>
          <w:rFonts w:ascii="Times New Roman" w:hAnsi="Times New Roman"/>
          <w:color w:val="000000"/>
          <w:sz w:val="20"/>
        </w:rPr>
        <w:t>(c)(3)(A)(iv)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w:t>
      </w:r>
    </w:p>
    <w:p>
      <w:pPr>
        <w:pStyle w:val="TextBody"/>
        <w:bidi w:val="0"/>
        <w:jc w:val="both"/>
        <w:rPr>
          <w:rFonts w:ascii="Times New Roman" w:hAnsi="Times New Roman"/>
          <w:color w:val="000000"/>
          <w:sz w:val="20"/>
        </w:rPr>
      </w:pPr>
      <w:r>
        <w:rPr>
          <w:rFonts w:ascii="Times New Roman" w:hAnsi="Times New Roman"/>
          <w:color w:val="000000"/>
          <w:sz w:val="20"/>
        </w:rPr>
        <w:t>As a result, since the Company has effected the 1-for-50 September Reverse Stock Split and the 1-for-10 July Reverse Split, Nasdaq would begin the process of delisting our common stock without providing a Minimum Bid Price Requirement compliance period. However, the Company could still be eligible to request a hearing before the Nasdaq Panel to present its plan for regaining and sustaining compliance with the Minimum Bid Price Requirement.</w:t>
      </w:r>
    </w:p>
    <w:p>
      <w:pPr>
        <w:pStyle w:val="TextBody"/>
        <w:bidi w:val="0"/>
        <w:jc w:val="both"/>
        <w:rPr>
          <w:rFonts w:ascii="Times New Roman" w:hAnsi="Times New Roman"/>
          <w:color w:val="000000"/>
          <w:sz w:val="20"/>
        </w:rPr>
      </w:pPr>
      <w:r>
        <w:rPr>
          <w:rFonts w:ascii="Times New Roman" w:hAnsi="Times New Roman"/>
          <w:color w:val="000000"/>
          <w:sz w:val="20"/>
        </w:rPr>
        <w:t xml:space="preserve">If our common stock ceases to be listed for trading on the Nasdaq Capital Market, we expect that our common stock would be traded on one of the three tiered marketplaces of the OTC Markets Group. If Nasdaq were to delist our common stock, it would be more difficult for our stockholders to dispose of our common stock and more difficult to obtain accurate price quotations on our common stock. Our ability to issue additional securities for financing or other purposes, or otherwise to arrange for any financing we may need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future, may also be materially and adversely affected if our common stock or warrants are not listed on a national securities exchange.</w:t>
      </w:r>
    </w:p>
    <w:p>
      <w:pPr>
        <w:pStyle w:val="TextBody"/>
        <w:bidi w:val="0"/>
        <w:jc w:val="both"/>
        <w:rPr/>
      </w:pPr>
      <w:r>
        <w:rPr/>
        <w:t> </w:t>
      </w:r>
    </w:p>
    <w:p>
      <w:pPr>
        <w:pStyle w:val="TextBody"/>
        <w:bidi w:val="0"/>
        <w:jc w:val="left"/>
        <w:rPr>
          <w:rFonts w:ascii="Times New Roman" w:hAnsi="Times New Roman"/>
          <w:b/>
          <w:color w:val="000000"/>
          <w:sz w:val="20"/>
        </w:rPr>
      </w:pPr>
      <w:bookmarkStart w:id="14" w:name="item_2_unregistered_sales_of_equity"/>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Shares of Class A Common Stock issued to 1800 Diagonal</w:t>
      </w:r>
    </w:p>
    <w:p>
      <w:pPr>
        <w:pStyle w:val="TextBody"/>
        <w:bidi w:val="0"/>
        <w:jc w:val="both"/>
        <w:rPr>
          <w:rFonts w:ascii="Times New Roman" w:hAnsi="Times New Roman"/>
          <w:sz w:val="20"/>
        </w:rPr>
      </w:pPr>
      <w:r>
        <w:rPr>
          <w:rFonts w:ascii="Times New Roman" w:hAnsi="Times New Roman"/>
          <w:color w:val="000000"/>
          <w:sz w:val="20"/>
        </w:rPr>
        <w:t>Between July 22, 2025 and August 11, 2025, the Company issued an aggregate of 59,800 shares of Class A Common Stock, pursuant to conversion notices from 1800 Diagonal to convert an aggregate of $143,604 in notes the Company previously issued to them; the conversion price varied between $2.685 per share and $2.167 per share.</w:t>
      </w:r>
      <w:r>
        <w:rPr>
          <w:rFonts w:ascii="Times New Roman" w:hAnsi="Times New Roman"/>
          <w:color w:val="212529"/>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16" w:name="item_4_mine_safety_disclosures"/>
      <w:bookmarkEnd w:id="1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7" w:name="item_5_other_information"/>
      <w:bookmarkEnd w:id="17"/>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nine months ended September 30, 2025, no director or officer of the Company adopted or terminated a “Rule 10b5-1 trading arrangement” or “non-Rule 10b5-1 trading arrangement,” as these terms are defined in Item 408(a) of Regulation S-K.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August 27, 2004 by and between Banzai and H.C. Wainwright &amp; Co., LLC (incorporated by reference to the Current Report on Form 8-K filed on August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Amended and Restated Certificate of Incorporation of the Company, dated December 14, 2023. (incorporated by reference to the Exhibit 3.1 to the Current Report on Form 8-K filed on December 20, 2023).</w:t>
              </w:r>
            </w:hyperlink>
            <w:hyperlink r:id="rId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Amended and Restated Bylaws of the Company, dated December 14, 2023 (incorporated by reference to the Exhibit 3.2 to the Current Report on Form 8-K filed on December 20, 2023).</w:t>
              </w:r>
            </w:hyperlink>
            <w:hyperlink r:id="rId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Third Amended and Restated Bylaws of the Company, dated March 3, 2025 (incorporated by reference to the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to Second Amended and Restated Certificate of Incorporation of the Company, dated September 11, 2024. (incorporated by reference to the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Second Amended and Restated Certificate of Incorporation of the Company, dated March 3, 2025. (incorporated by reference to the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(2025 Stock Split) to Certificate of Incorporation of the Company, dated June 24, 2025. (incorporated by reference to the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Specimen Class A Common Stock Certificate of the Company (incorporated by reference to the Exhibit 4.1 to the Current Report on Form 8-K filed on December 20, 2023).</w:t>
              </w:r>
            </w:hyperlink>
            <w:hyperlink r:id="rId15">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Specimen Class B Common Stock Certificate of the Company (incorporated by reference to the Exhibit 4.2 to the Current Report on Form 8-K filed on December 20, 2023).</w:t>
              </w:r>
            </w:hyperlink>
            <w:hyperlink r:id="rId1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Specimen Warrant Certificate of the Company (incorporated by reference to the Exhibit 4.3 to the Current Report on Form 8-K filed on December 20, 2023).</w:t>
              </w:r>
            </w:hyperlink>
            <w:hyperlink r:id="rId1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1">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3">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Subordinated Promissory Note, dated December 13, 2023, issued by the Company to Alco Investment Company (incorporated by reference to the Exhibit 4.5 to the Current Report on Form 8-K filed on December 20, 2023).</w:t>
              </w:r>
            </w:hyperlink>
            <w:hyperlink r:id="rId25">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the Exhibit 4.7 to the Current Report on Form 8-K filed on December 20, 2023).</w:t>
              </w:r>
            </w:hyperlink>
            <w:hyperlink r:id="rId2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Promissory Note, dated as of February 5, 2024, issued by Banzai International, Inc. to YA II PN, LTD (incorporated by reference to the Exhibit 4.11 to the Registration Statement on Form S-1 filed on February 5, 2024).</w:t>
              </w:r>
            </w:hyperlink>
            <w:hyperlink r:id="rId3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Warrant (incorporated by reference to the Current Report on Form 8-K filed on July 3, 2025).</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0"/>
        <w:gridCol w:w="146"/>
        <w:gridCol w:w="9439"/>
      </w:tblGrid>
      <w:tr>
        <w:trPr/>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39" w:type="dxa"/>
            <w:tcBorders/>
            <w:vAlign w:val="center"/>
          </w:tcPr>
          <w:p>
            <w:pPr>
              <w:pStyle w:val="TableContents"/>
              <w:bidi w:val="0"/>
              <w:spacing w:before="0" w:after="283"/>
              <w:jc w:val="left"/>
              <w:rPr>
                <w:sz w:val="4"/>
                <w:szCs w:val="4"/>
              </w:rPr>
            </w:pPr>
            <w:r>
              <w:rPr>
                <w:sz w:val="4"/>
                <w:szCs w:val="4"/>
              </w:rPr>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Additional Note (incorporated by reference to Exhibit 4.3 to the Current Report on Form 8-K filed on August 22, 2025).</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Additional Warrant (incorporated by reference to Exhibit 4.4 to the Current Report on Form 8-k filed on August 22, 2025).</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Letter Agreement, dated December 22, 2020, by and among 7GC, its officers, its directors and the 7GC Sponsor (incorporated by reference to Exhibit 10.1 to the Current Report on Form 8-K filed by 7GC on December 28, 2020).</w:t>
              </w:r>
            </w:hyperlink>
            <w:hyperlink r:id="rId38">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Private Placement Warrants Purchase Agreement, dated December 22, 2020, by and between 7GC and the 7GC Sponsor (incorporated by reference to Exhibit 10.5 to the Current Report on Form 8-K filed by 7GC on December 15, 2020).</w:t>
              </w:r>
            </w:hyperlink>
            <w:hyperlink r:id="rId40">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Amended and Restated Registration Rights Agreement, dated December 14, 2023, by and among the Company, the 7GC Sponsor, certain stockholders of the Company (incorporated by reference to Exhibit 10.6 to the Current Report on Form 8-K filed on December 20, 2023).</w:t>
              </w:r>
            </w:hyperlink>
            <w:hyperlink r:id="rId42">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"rom441541_44"</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Lock-Up Agreement, by and between the Company and certain stockholders and executives of Legacy Banzai (incorporated by reference to Annex D to the Registration Statement on Form S-4 filed on August 31, 2023).</w:t>
            </w:r>
            <w:r>
              <w:rPr>
                <w:rStyle w:val="InternetLink"/>
                <w:sz w:val="20"/>
                <w:u w:val="single"/>
                <w:rFonts w:ascii="Times New Roman" w:hAnsi="Times New Roman"/>
                <w:color w:val="0000FF"/>
              </w:rPr>
              <w:fldChar w:fldCharType="end"/>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Banzai International, Inc. 2023 Equity Incentive Plan (incorporated by reference to Exhibit 99.1 to the Registration Statement on Form S-8 filed on March 25, 2024).</w:t>
              </w:r>
            </w:hyperlink>
            <w:hyperlink r:id="rId44">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Banzai International, Inc. 2023 Employee Stock Purchase Plan (incorporated by reference to Exhibit 99.2 to the Registration Statement on Form S-8 filed on March 25, 2024).</w:t>
              </w:r>
            </w:hyperlink>
            <w:hyperlink r:id="rId46">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Loan Agreement, dated February 19, 2021, by and among the Company, Joseph P. Davy as an Individual Guarantor, Demio, Inc., as an Individual Guarantor and CP BF Lending, LLC, as Lender (incorporated by reference to Exhibit 10.16 to the Registration Statement on Form S-4 filed by 7GC on August 30, 2023).</w:t>
              </w:r>
            </w:hyperlink>
            <w:hyperlink r:id="rId48">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Forbearance Agreement, dated August 24, 2023, by and among the Company, the guarantors party to the Loan Agreement (as defined therein), and CP BF Lending, LLC (incorporated by reference to Exhibit 10.18 to the Registration Statement on Form S-4 filed by 7GC on August 30, 2023).</w:t>
              </w:r>
            </w:hyperlink>
            <w:r>
              <w:rPr>
                <w:rFonts w:ascii="Times New Roman" w:hAnsi="Times New Roman"/>
                <w:color w:val="0000FF"/>
                <w:sz w:val="20"/>
              </w:rPr>
              <w:t xml:space="preserve"> </w:t>
            </w:r>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Promissory Note, dated October 3, 2023, issued by 7GC to the 7GC Sponsor (incorporated by reference to Exhibit 10.1 to the Current Report on Form 8-K filed by 7GC on October 4, 2023).</w:t>
              </w:r>
            </w:hyperlink>
            <w:hyperlink r:id="rId51">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Standby Equity Purchase Agreement, dated as of December 14, 2023, by and among the Company, YA II PN, LTD., and Banzai Operating Co LLC (f/k/a Banzai International, Inc.). (incorporated by reference to Exhibit 10.1 to the Current Report on Form 8-K filed on December 18, 2023).</w:t>
              </w:r>
            </w:hyperlink>
            <w:hyperlink r:id="rId53">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Registration Rights Agreement, dated as of December 14, 2023, by and between the Company and YA II PN, LTD. (incorporated by reference to Exhibit 10.3 to the Current Report on Form 8-K filed on December 18, 2023).</w:t>
              </w:r>
            </w:hyperlink>
            <w:hyperlink r:id="rId55">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Share Transfer Agreement, dated December 13, 2023, by and among the Company, the 7GC Sponsor and Alco Investment Company (incorporated by reference to Exhibit 10.5 to the Current Report on Form 8-K filed on December 20, 2023).</w:t>
              </w:r>
            </w:hyperlink>
            <w:hyperlink r:id="rId57">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Form of Indemnification Agreement by and between the Company and its directors and officers (incorporated by reference to Exhibit 10.8 to the Current Report on Form 8-K filed on December 20, 2023).</w:t>
              </w:r>
            </w:hyperlink>
            <w:hyperlink r:id="rId59">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Amendment to Fee Reduction Agreement, dated December 28, 2023, by and between the Company and Cantor Fitzgerald (incorporated by reference to the Exhibit 10.26 to the Registration Statement on Form S-1 filed on February 5, 2024).</w:t>
              </w:r>
            </w:hyperlink>
            <w:hyperlink r:id="rId61">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Settlement Agreement, dated February 5, 2024, by and between the Company, GEM Global Yield LLC SCS and GEM Yield Bahamas Limited (incorporated by reference to the Exhibit 10.27 of Amendment No. 1 to the Registration Statement on Form S-1 filed on February 5, 2024).</w:t>
              </w:r>
            </w:hyperlink>
            <w:hyperlink r:id="rId63">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Unsecured Promissory Note, dated February 5, 2024, issued by the Company to GEM Global Yield LLC SCS (incorporated by reference to Exhibit 10.4 to the Current Report on Form 8-K filed on February 8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Supplemental Agreement, dated February 5, 2024, by and between the Company and YA II PN, LTD (incorporated by reference to Exhibit 10.29 of Amendment No. 1 to the Registration Statement on Form S-1 filed on February 5,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Addendum to Letter Agreements, dated February 5, 2024, by and between the Company and Roth Capital Partners, LLC (incorporated by reference to the Exhibit 10.30 of Amendment No. 1 to the Registration Statement on Form S-1 filed on February 5, 2024).</w:t>
              </w:r>
            </w:hyperlink>
            <w:hyperlink r:id="rId67">
              <w:r>
                <w:rPr>
                  <w:rStyle w:val="InternetLink"/>
                  <w:rFonts w:ascii="Times New Roman" w:hAnsi="Times New Roman"/>
                  <w:color w:val="0000FF"/>
                  <w:sz w:val="20"/>
                </w:rPr>
                <w:t xml:space="preserve"> </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Form of Convertible Promissory Note issued to YA II PN, LTD (incorporated by reference to exhibit 10.1 to the Current Report on Form 8-K filed on February 3, 2025).</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Second Amendment to Loan Agreement by and among the Company, Demio Holding Inc., Banzai Operating Co. LLC and CP BF Lending, LLC, as Lender dated as of September 23, 2024 (incorporated by reference to the Exhibit 10.19 to the Current Report on Form 8-K/A filed on September 27,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Debt Repayment Agreement, dated as of May 3, 2024, by and among the Company and Yorkville (incorporated by reference to Exhibit 99.2 to the Current Report on Form 8-K filed on May 16, 2024).</w:t>
              </w:r>
            </w:hyperlink>
          </w:p>
        </w:tc>
      </w:tr>
      <w:tr>
        <w:trPr/>
        <w:tc>
          <w:tcPr>
            <w:tcW w:w="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Amended and Restated Debt Repayment Agreement, dated as of May 22, 2024, by and between the Company and Yorkville (incorporated by reference to Exhibit 4.12 to the Registration Statement filed on Form S-1 on September 19, 2024).</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Form of Securities Purchase Agreement (incorporated by reference to Exhibit 10.1 to the Current Report on Form 8-K filed on May 28,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Form of Securities Purchase Agreement (incorporated by reference to the Exhibit 10.1 to the Current Report on Form 8-K filed on September 27,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Lock-up Agreement, dated as of September 20, 2024, by and between Banzai International, Inc. and Alco Investment Company (incorporated by reference to the Exhibit 10.21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Form of Registration Rights Agreement, by and between Banzai International, Inc. and Alco Investment Company (incorporated by reference to the Exhibit 10.20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Securities Purchase Agreement, dated as of September 23, 2024, by and between Banzai International, Inc. and CP BF Lending, LLC (incorporated by reference to the Exhibit 10.17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Lock-up Agreement, dated as of September 23, 2024, by and between Banzai International, Inc. and CP BF Lending, LLC (incorporated by reference to the Exhibit 10.25 to the Current Report on Form 8-K filed on September 25, 2024)</w:t>
              </w:r>
            </w:hyperlink>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Form of Registration Rights Agreement, by and between Banzai International, Inc. and CP BF Lending, LLC (incorporated by reference to the Exhibit 10.24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Form of Registration Rights Agreement (incorporated by reference to the Exhibit 10.2 to the Current Report on Form 8-K filed on September 27,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Securities Purchase Agreement, dated as of September 20, 2024, by and between Banzai International, Inc. and Alco Investment Company (incorporated by reference to the Registration Statement on Form S-1 filed with the SEC on October 16, 2024).</w:t>
              </w:r>
            </w:hyperlink>
            <w:hyperlink r:id="rId81">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Repayment Agreement with Perkins Coie, LLP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3">
              <w:r>
                <w:rPr>
                  <w:rStyle w:val="InternetLink"/>
                  <w:rFonts w:ascii="Times New Roman" w:hAnsi="Times New Roman"/>
                  <w:color w:val="0000FF"/>
                  <w:sz w:val="20"/>
                  <w:u w:val="single"/>
                </w:rPr>
                <w:t>Amended and Restated Repayment Agreement with J.V.B Financial Group, LLC (incorporated by reference to the Registration Statement on Form S-1 filed with the SEC on October 16, 2024).</w:t>
              </w:r>
            </w:hyperlink>
            <w:hyperlink r:id="rId84">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5">
              <w:r>
                <w:rPr>
                  <w:rStyle w:val="InternetLink"/>
                  <w:rFonts w:ascii="Times New Roman" w:hAnsi="Times New Roman"/>
                  <w:color w:val="0000FF"/>
                  <w:sz w:val="20"/>
                  <w:u w:val="single"/>
                </w:rPr>
                <w:t>Investor Relations Consulting Agreement with MZHCI, LLC (incorporated by reference to the Registration Statement on Form S-1 filed with the SEC on October 16, 2024).</w:t>
              </w:r>
            </w:hyperlink>
            <w:hyperlink r:id="rId86">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7">
              <w:r>
                <w:rPr>
                  <w:rStyle w:val="InternetLink"/>
                  <w:rFonts w:ascii="Times New Roman" w:hAnsi="Times New Roman"/>
                  <w:color w:val="0000FF"/>
                  <w:sz w:val="20"/>
                  <w:u w:val="single"/>
                </w:rPr>
                <w:t>Side Letter to the Loan Agreement with CP BF Lending, LLC (incorporated by reference to the Exhibit 10.6 to the Current Report on Form 8-K filed on September 25,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8">
              <w:r>
                <w:rPr>
                  <w:rStyle w:val="InternetLink"/>
                  <w:rFonts w:ascii="Times New Roman" w:hAnsi="Times New Roman"/>
                  <w:color w:val="0000FF"/>
                  <w:sz w:val="20"/>
                  <w:u w:val="single"/>
                </w:rPr>
                <w:t>Floor Price Adjustment Agreement with Yorkville Advisors (incorporated by reference to the Registration Statement on Form S-1 filed with the SEC on October 16, 2024).</w:t>
              </w:r>
            </w:hyperlink>
            <w:r>
              <w:rPr>
                <w:rFonts w:ascii="Times New Roman" w:hAnsi="Times New Roman"/>
                <w:color w:val="0000FF"/>
                <w:sz w:val="20"/>
              </w:rPr>
              <w:t xml:space="preserve">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9">
              <w:r>
                <w:rPr>
                  <w:rStyle w:val="InternetLink"/>
                  <w:rFonts w:ascii="Times New Roman" w:hAnsi="Times New Roman"/>
                  <w:color w:val="0000FF"/>
                  <w:sz w:val="20"/>
                  <w:u w:val="single"/>
                </w:rPr>
                <w:t>Repayment Agreement with Cooley LLP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0">
              <w:r>
                <w:rPr>
                  <w:rStyle w:val="InternetLink"/>
                  <w:rFonts w:ascii="Times New Roman" w:hAnsi="Times New Roman"/>
                  <w:color w:val="0000FF"/>
                  <w:sz w:val="20"/>
                  <w:u w:val="single"/>
                </w:rPr>
                <w:t>Settlement Letter with CohnReznick LLP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1">
              <w:r>
                <w:rPr>
                  <w:rStyle w:val="InternetLink"/>
                  <w:rFonts w:ascii="Times New Roman" w:hAnsi="Times New Roman"/>
                  <w:color w:val="0000FF"/>
                  <w:sz w:val="20"/>
                  <w:u w:val="single"/>
                </w:rPr>
                <w:t>Repayment Agreement with Sidley Austin LLP (incorporated by reference to the Registration Statement on Form S-1 filed with the SEC on October 16, 2024).</w:t>
              </w:r>
            </w:hyperlink>
            <w:hyperlink r:id="rId92">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3">
              <w:r>
                <w:rPr>
                  <w:rStyle w:val="InternetLink"/>
                  <w:rFonts w:ascii="Times New Roman" w:hAnsi="Times New Roman"/>
                  <w:color w:val="0000FF"/>
                  <w:sz w:val="20"/>
                  <w:u w:val="single"/>
                </w:rPr>
                <w:t>Repayment Agreement with Donnelley Financial LLC (incorporated by reference to the Registration Statement on Form S-1 filed with the SEC on October 16, 2024).</w:t>
              </w:r>
            </w:hyperlink>
            <w:hyperlink r:id="rId94">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5">
              <w:r>
                <w:rPr>
                  <w:rStyle w:val="InternetLink"/>
                  <w:rFonts w:ascii="Times New Roman" w:hAnsi="Times New Roman"/>
                  <w:color w:val="0000FF"/>
                  <w:sz w:val="20"/>
                  <w:u w:val="single"/>
                </w:rPr>
                <w:t>Repayment Agreement with Verista Partners, Inc. (incorporated by reference to the Registration Statement on Form S-1 filed with the SEC on October 16, 2024).</w:t>
              </w:r>
            </w:hyperlink>
            <w:hyperlink r:id="rId96">
              <w:r>
                <w:rPr>
                  <w:rStyle w:val="InternetLink"/>
                  <w:rFonts w:ascii="Times New Roman" w:hAnsi="Times New Roman"/>
                  <w:color w:val="0000FF"/>
                  <w:sz w:val="20"/>
                </w:rPr>
                <w:t xml:space="preserve"> </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7">
              <w:r>
                <w:rPr>
                  <w:rStyle w:val="InternetLink"/>
                  <w:rFonts w:ascii="Times New Roman" w:hAnsi="Times New Roman"/>
                  <w:color w:val="0000FF"/>
                  <w:sz w:val="20"/>
                  <w:u w:val="single"/>
                </w:rPr>
                <w:t>Consulting Agreement dated as of September 26, 2024 by and between the Company and Hudson Global Ventures, LLC (incorporated by reference to the Registration Statement on Form S-1 filed with the SEC on October 16,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8">
              <w:r>
                <w:rPr>
                  <w:rStyle w:val="InternetLink"/>
                  <w:rFonts w:ascii="Times New Roman" w:hAnsi="Times New Roman"/>
                  <w:color w:val="0000FF"/>
                  <w:sz w:val="20"/>
                  <w:u w:val="single"/>
                </w:rPr>
                <w:t>Form of Registration Rights Agreement (incorporated by reference to Exhibit 10.1 to the Current Report on Form 8-K filed on December 10,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9">
              <w:r>
                <w:rPr>
                  <w:rStyle w:val="InternetLink"/>
                  <w:rFonts w:ascii="Times New Roman" w:hAnsi="Times New Roman"/>
                  <w:color w:val="0000FF"/>
                  <w:sz w:val="20"/>
                  <w:u w:val="single"/>
                </w:rPr>
                <w:t>Form of Pre-Funded Warrant (incorporated by reference to Exhibit 10.2 to the Current Report on Form 8-K filed on December 10, 2024).</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0">
              <w:r>
                <w:rPr>
                  <w:rStyle w:val="InternetLink"/>
                  <w:rFonts w:ascii="Times New Roman" w:hAnsi="Times New Roman"/>
                  <w:color w:val="0000FF"/>
                  <w:sz w:val="20"/>
                  <w:u w:val="single"/>
                </w:rPr>
                <w:t>Form of Subscription Booklet (incorporated by reference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1">
              <w:r>
                <w:rPr>
                  <w:rStyle w:val="InternetLink"/>
                  <w:rFonts w:ascii="Times New Roman" w:hAnsi="Times New Roman"/>
                  <w:color w:val="0000FF"/>
                  <w:sz w:val="20"/>
                  <w:u w:val="single"/>
                </w:rPr>
                <w:t>Form of Pre-Funded Warrant (incorporated by reference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2">
              <w:r>
                <w:rPr>
                  <w:rStyle w:val="InternetLink"/>
                  <w:rFonts w:ascii="Times New Roman" w:hAnsi="Times New Roman"/>
                  <w:color w:val="0000FF"/>
                  <w:sz w:val="20"/>
                  <w:u w:val="single"/>
                </w:rPr>
                <w:t>Voting and Support Agreement, dated January 22, 2025 by and between Banzai International, Inc and Joseph Davy (incorporated by reference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3">
              <w:r>
                <w:rPr>
                  <w:rStyle w:val="InternetLink"/>
                  <w:rFonts w:ascii="Times New Roman" w:hAnsi="Times New Roman"/>
                  <w:color w:val="0000FF"/>
                  <w:sz w:val="20"/>
                  <w:u w:val="single"/>
                </w:rPr>
                <w:t>Form of Share Consideration Escrow Agreement (incorporated by reference to Exhibit 10.4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4">
              <w:r>
                <w:rPr>
                  <w:rStyle w:val="InternetLink"/>
                  <w:rFonts w:ascii="Times New Roman" w:hAnsi="Times New Roman"/>
                  <w:color w:val="0000FF"/>
                  <w:sz w:val="20"/>
                  <w:u w:val="single"/>
                </w:rPr>
                <w:t>Form of Registration Rights Agreement (incorporated by reference to Exhibit 10.5 to the Current Report on Form 8-K filed on January 23, 2025).</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5">
              <w:r>
                <w:rPr>
                  <w:rStyle w:val="InternetLink"/>
                  <w:rFonts w:ascii="Times New Roman" w:hAnsi="Times New Roman"/>
                  <w:color w:val="0000FF"/>
                  <w:sz w:val="20"/>
                  <w:u w:val="single"/>
                </w:rPr>
                <w:t>Voting and Support Agreement, dated December 10, 2024, by and between Joseph P. Davy and Banzai International Inc. (incorporated by reference to Exhibit 10.3 to the Current Report on Form 8-K filed on December 10, 2024).</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6"/>
        <w:gridCol w:w="146"/>
        <w:gridCol w:w="9183"/>
      </w:tblGrid>
      <w:tr>
        <w:trPr/>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3" w:type="dxa"/>
            <w:tcBorders/>
            <w:vAlign w:val="center"/>
          </w:tcPr>
          <w:p>
            <w:pPr>
              <w:pStyle w:val="TableContents"/>
              <w:bidi w:val="0"/>
              <w:spacing w:before="0" w:after="283"/>
              <w:jc w:val="left"/>
              <w:rPr>
                <w:sz w:val="4"/>
                <w:szCs w:val="4"/>
              </w:rPr>
            </w:pPr>
            <w:r>
              <w:rPr>
                <w:sz w:val="4"/>
                <w:szCs w:val="4"/>
              </w:rPr>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6">
              <w:r>
                <w:rPr>
                  <w:rStyle w:val="InternetLink"/>
                  <w:rFonts w:ascii="Times New Roman" w:hAnsi="Times New Roman"/>
                  <w:color w:val="0000FF"/>
                  <w:sz w:val="20"/>
                  <w:u w:val="single"/>
                </w:rPr>
                <w:t>Form of Lock-Up Agreement (incorporated by reference to exhibit 10.1 to the Current Report on Form 8-K filed on December 20, 2024)</w:t>
              </w:r>
            </w:hyperlink>
            <w:r>
              <w:rPr>
                <w:rFonts w:ascii="Times New Roman" w:hAnsi="Times New Roman"/>
                <w:color w:val="0000FF"/>
                <w:sz w:val="20"/>
              </w:rPr>
              <w:t>.</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7">
              <w:r>
                <w:rPr>
                  <w:rStyle w:val="InternetLink"/>
                  <w:rFonts w:ascii="Times New Roman" w:hAnsi="Times New Roman"/>
                  <w:color w:val="0000FF"/>
                  <w:sz w:val="20"/>
                  <w:u w:val="single"/>
                </w:rPr>
                <w:t>Form of Pre-Funded Warrant (incorporated by reference to exhibit 10.2 to the Current Report on Form 8-K filed on December 20, 2024).</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8">
              <w:r>
                <w:rPr>
                  <w:rStyle w:val="InternetLink"/>
                  <w:rFonts w:ascii="Times New Roman" w:hAnsi="Times New Roman"/>
                  <w:color w:val="0000FF"/>
                  <w:sz w:val="20"/>
                  <w:u w:val="single"/>
                </w:rPr>
                <w:t>Voting and Support Agreement, dated December 19, 2024, by and between Banzai International Inc., and Joseph P. Davy (incorporated by reference to exhibit 10.3 to the Current Report on Form 8-K filed on December 20, 2024).</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9">
              <w:r>
                <w:rPr>
                  <w:rStyle w:val="InternetLink"/>
                  <w:rFonts w:ascii="Times New Roman" w:hAnsi="Times New Roman"/>
                  <w:color w:val="0000FF"/>
                  <w:sz w:val="20"/>
                  <w:u w:val="single"/>
                </w:rPr>
                <w:t>Closing Letter Agreement, dated January 24, 2025, by and among Banzai International, Inc., Vidello Limited and certain shareholders of Vidello Limited (incorporated by reference to exhibit 10.3 to the Current Report on Form 8-K filed on January 31,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0">
              <w:r>
                <w:rPr>
                  <w:rStyle w:val="InternetLink"/>
                  <w:rFonts w:ascii="Times New Roman" w:hAnsi="Times New Roman"/>
                  <w:color w:val="0000FF"/>
                  <w:sz w:val="20"/>
                  <w:u w:val="single"/>
                </w:rPr>
                <w:t>Form of Securities Purchase Agreement (incorporated by reference to the Current Report on Form 8-K filed on July 3,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1">
              <w:r>
                <w:rPr>
                  <w:rStyle w:val="InternetLink"/>
                  <w:rFonts w:ascii="Times New Roman" w:hAnsi="Times New Roman"/>
                  <w:color w:val="0000FF"/>
                  <w:sz w:val="20"/>
                  <w:u w:val="single"/>
                </w:rPr>
                <w:t>Form of Registration Rights Purchase Agreement (incorporated by reference to the Current Report on Form 8-K filed on July 3,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2">
              <w:r>
                <w:rPr>
                  <w:rStyle w:val="InternetLink"/>
                  <w:rFonts w:ascii="Times New Roman" w:hAnsi="Times New Roman"/>
                  <w:color w:val="0000FF"/>
                  <w:sz w:val="20"/>
                  <w:u w:val="single"/>
                </w:rPr>
                <w:t>Form of Leak-Out Agreement (incorporated by reference to the Current Report on Form 8-K filed on July 3,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3">
              <w:r>
                <w:rPr>
                  <w:rStyle w:val="InternetLink"/>
                  <w:rFonts w:ascii="Times New Roman" w:hAnsi="Times New Roman"/>
                  <w:color w:val="0000FF"/>
                  <w:sz w:val="20"/>
                  <w:u w:val="single"/>
                </w:rPr>
                <w:t>Form of Convertible Promissory Note dated September 16, 2025 (incorporated by reference to the Current Report on Form 8-K filed on September 17, 2025)</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
        <w:gridCol w:w="9802"/>
      </w:tblGrid>
      <w:tr>
        <w:trPr/>
        <w:tc>
          <w:tcPr>
            <w:tcW w:w="403" w:type="dxa"/>
            <w:tcBorders/>
            <w:vAlign w:val="center"/>
          </w:tcPr>
          <w:p>
            <w:pPr>
              <w:pStyle w:val="TableContents"/>
              <w:bidi w:val="0"/>
              <w:spacing w:before="0" w:after="283"/>
              <w:jc w:val="left"/>
              <w:rPr>
                <w:sz w:val="4"/>
                <w:szCs w:val="4"/>
              </w:rPr>
            </w:pPr>
            <w:r>
              <w:rPr>
                <w:sz w:val="4"/>
                <w:szCs w:val="4"/>
              </w:rPr>
            </w:r>
          </w:p>
        </w:tc>
        <w:tc>
          <w:tcPr>
            <w:tcW w:w="9802" w:type="dxa"/>
            <w:tcBorders/>
            <w:vAlign w:val="center"/>
          </w:tcPr>
          <w:p>
            <w:pPr>
              <w:pStyle w:val="TableContents"/>
              <w:bidi w:val="0"/>
              <w:spacing w:before="0" w:after="283"/>
              <w:jc w:val="left"/>
              <w:rPr>
                <w:sz w:val="4"/>
                <w:szCs w:val="4"/>
              </w:rPr>
            </w:pPr>
            <w:r>
              <w:rPr>
                <w:sz w:val="4"/>
                <w:szCs w:val="4"/>
              </w:rPr>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August 14, 2025.</w:t>
      </w:r>
    </w:p>
    <w:p>
      <w:pPr>
        <w:pStyle w:val="TextBody"/>
        <w:bidi w:val="0"/>
        <w:jc w:val="left"/>
        <w:rPr/>
      </w:pPr>
      <w:r>
        <w:rPr/>
        <w:t> </w:t>
      </w:r>
    </w:p>
    <w:tbl>
      <w:tblPr>
        <w:tblW w:w="5277" w:type="dxa"/>
        <w:jc w:val="left"/>
        <w:tblInd w:w="0" w:type="dxa"/>
        <w:tblLayout w:type="fixed"/>
        <w:tblCellMar>
          <w:top w:w="28" w:type="dxa"/>
          <w:left w:w="28" w:type="dxa"/>
          <w:bottom w:w="28" w:type="dxa"/>
          <w:right w:w="28" w:type="dxa"/>
        </w:tblCellMar>
      </w:tblPr>
      <w:tblGrid>
        <w:gridCol w:w="2206"/>
        <w:gridCol w:w="146"/>
        <w:gridCol w:w="468"/>
        <w:gridCol w:w="2457"/>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BANZAI INTERNATIONAL,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bookmarkStart w:id="20" w:name="bnzi-ex31_1.htm"/>
      <w:bookmarkStart w:id="21" w:name="ksbnzi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Davy,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September 30, 2025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317" w:type="dxa"/>
        <w:jc w:val="left"/>
        <w:tblInd w:w="0" w:type="dxa"/>
        <w:tblLayout w:type="fixed"/>
        <w:tblCellMar>
          <w:top w:w="28" w:type="dxa"/>
          <w:left w:w="28" w:type="dxa"/>
          <w:bottom w:w="28" w:type="dxa"/>
          <w:right w:w="28" w:type="dxa"/>
        </w:tblCellMar>
      </w:tblPr>
      <w:tblGrid>
        <w:gridCol w:w="2206"/>
        <w:gridCol w:w="109"/>
        <w:gridCol w:w="406"/>
        <w:gridCol w:w="25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bnzi-ex31_2.htm"/>
      <w:bookmarkStart w:id="23" w:name="ksbnzi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Dean Ditto,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September 30, 2025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867" w:type="dxa"/>
        <w:jc w:val="left"/>
        <w:tblInd w:w="0" w:type="dxa"/>
        <w:tblLayout w:type="fixed"/>
        <w:tblCellMar>
          <w:top w:w="28" w:type="dxa"/>
          <w:left w:w="28" w:type="dxa"/>
          <w:bottom w:w="28" w:type="dxa"/>
          <w:right w:w="28" w:type="dxa"/>
        </w:tblCellMar>
      </w:tblPr>
      <w:tblGrid>
        <w:gridCol w:w="2206"/>
        <w:gridCol w:w="109"/>
        <w:gridCol w:w="406"/>
        <w:gridCol w:w="214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bnzi-ex32_1.htm"/>
      <w:bookmarkStart w:id="25" w:name="ksbnziex32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quarter ended September 30, 2025, as filed with the Securities and Exchange Commission on or about the date hereof (the “Report”), I, Joseph Davy, Chief Executive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317" w:type="dxa"/>
        <w:jc w:val="left"/>
        <w:tblInd w:w="0" w:type="dxa"/>
        <w:tblLayout w:type="fixed"/>
        <w:tblCellMar>
          <w:top w:w="28" w:type="dxa"/>
          <w:left w:w="28" w:type="dxa"/>
          <w:bottom w:w="28" w:type="dxa"/>
          <w:right w:w="28" w:type="dxa"/>
        </w:tblCellMar>
      </w:tblPr>
      <w:tblGrid>
        <w:gridCol w:w="2206"/>
        <w:gridCol w:w="109"/>
        <w:gridCol w:w="406"/>
        <w:gridCol w:w="25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bnzi-ex32_2.htm"/>
      <w:bookmarkStart w:id="27" w:name="ksbnziex32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quarter ended September 30, 2025, as filed with the Securities and Exchange Commission on or about the date hereof (the “Report”), I, Dean Ditto, Chief Financial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2206"/>
        <w:gridCol w:w="109"/>
        <w:gridCol w:w="406"/>
        <w:gridCol w:w="214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12412/ex1-1.htm" TargetMode="External"/><Relationship Id="rId3" Type="http://schemas.openxmlformats.org/officeDocument/2006/relationships/hyperlink" Target="https://www.sec.gov/Archives/edgar/data/1826011/000149315224049374/ex2-1.htm" TargetMode="External"/><Relationship Id="rId4" Type="http://schemas.openxmlformats.org/officeDocument/2006/relationships/hyperlink" Target="https://www.sec.gov/Archives/edgar/data/1826011/000149315224050891/ex2-1.htm" TargetMode="External"/><Relationship Id="rId5" Type="http://schemas.openxmlformats.org/officeDocument/2006/relationships/hyperlink" Target="https://www.sec.gov/Archives/edgar/data/1826011/000149315225003319/ex2-1.htm" TargetMode="External"/><Relationship Id="rId6" Type="http://schemas.openxmlformats.org/officeDocument/2006/relationships/hyperlink" Target="https://www.sec.gov/Archives/edgar/data/1826011/000119312523300033/d449527dex31.htm" TargetMode="External"/><Relationship Id="rId7" Type="http://schemas.openxmlformats.org/officeDocument/2006/relationships/hyperlink" Target="https://www.sec.gov/Archives/edgar/data/1826011/000119312523300033/d449527dex31.htm" TargetMode="External"/><Relationship Id="rId8" Type="http://schemas.openxmlformats.org/officeDocument/2006/relationships/hyperlink" Target="https://www.sec.gov/Archives/edgar/data/1826011/000119312523300033/d449527dex32.htm" TargetMode="External"/><Relationship Id="rId9" Type="http://schemas.openxmlformats.org/officeDocument/2006/relationships/hyperlink" Target="https://www.sec.gov/Archives/edgar/data/1826011/000119312523300033/d449527dex32.htm" TargetMode="External"/><Relationship Id="rId10" Type="http://schemas.openxmlformats.org/officeDocument/2006/relationships/hyperlink" Target="https://www.sec.gov/Archives/edgar/data/1826011/000149315225009079/ex3-2.htm" TargetMode="External"/><Relationship Id="rId11" Type="http://schemas.openxmlformats.org/officeDocument/2006/relationships/hyperlink" Target="https://www.sec.gov/Archives/edgar/data/1826011/000149315224036413/ex3-1.htm" TargetMode="External"/><Relationship Id="rId12" Type="http://schemas.openxmlformats.org/officeDocument/2006/relationships/hyperlink" Target="https://www.sec.gov/Archives/edgar/data/1826011/000149315225009079/ex3-1.htm" TargetMode="External"/><Relationship Id="rId13" Type="http://schemas.openxmlformats.org/officeDocument/2006/relationships/hyperlink" Target="https://www.sec.gov/Archives/edgar/data/1826011/000164117225016949/ex3-1.htm" TargetMode="External"/><Relationship Id="rId14" Type="http://schemas.openxmlformats.org/officeDocument/2006/relationships/hyperlink" Target="https://www.sec.gov/Archives/edgar/data/1826011/000119312523300033/d449527dex41.htm" TargetMode="External"/><Relationship Id="rId15" Type="http://schemas.openxmlformats.org/officeDocument/2006/relationships/hyperlink" Target="https://www.sec.gov/Archives/edgar/data/1826011/000119312523300033/d449527dex41.htm" TargetMode="External"/><Relationship Id="rId16" Type="http://schemas.openxmlformats.org/officeDocument/2006/relationships/hyperlink" Target="https://www.sec.gov/Archives/edgar/data/1826011/000119312523300033/d449527dex42.htm" TargetMode="External"/><Relationship Id="rId17" Type="http://schemas.openxmlformats.org/officeDocument/2006/relationships/hyperlink" Target="https://www.sec.gov/Archives/edgar/data/1826011/000119312523300033/d449527dex42.htm" TargetMode="External"/><Relationship Id="rId18" Type="http://schemas.openxmlformats.org/officeDocument/2006/relationships/hyperlink" Target="https://www.sec.gov/Archives/edgar/data/1826011/000119312523300033/d449527dex43.htm" TargetMode="External"/><Relationship Id="rId19" Type="http://schemas.openxmlformats.org/officeDocument/2006/relationships/hyperlink" Target="https://www.sec.gov/Archives/edgar/data/1826011/000119312523300033/d449527dex43.htm" TargetMode="External"/><Relationship Id="rId20" Type="http://schemas.openxmlformats.org/officeDocument/2006/relationships/hyperlink" Target="https://www.sec.gov/Archives/edgar/data/1826011/000121390020044825/ea132294ex4-1_7gcholdings.htm" TargetMode="External"/><Relationship Id="rId21" Type="http://schemas.openxmlformats.org/officeDocument/2006/relationships/hyperlink" Target="https://www.sec.gov/Archives/edgar/data/1826011/000121390020044825/ea132294ex4-1_7gcholdings.htm" TargetMode="External"/><Relationship Id="rId22" Type="http://schemas.openxmlformats.org/officeDocument/2006/relationships/hyperlink" Target="https://www.sec.gov/Archives/edgar/data/1826011/000119312523225201/d441541dex47.htm" TargetMode="External"/><Relationship Id="rId23" Type="http://schemas.openxmlformats.org/officeDocument/2006/relationships/hyperlink" Target="https://www.sec.gov/Archives/edgar/data/1826011/000119312523225201/d441541dex47.htm" TargetMode="External"/><Relationship Id="rId24" Type="http://schemas.openxmlformats.org/officeDocument/2006/relationships/hyperlink" Target="https://www.sec.gov/Archives/edgar/data/1826011/000119312523300033/d449527dex45.htm" TargetMode="External"/><Relationship Id="rId25" Type="http://schemas.openxmlformats.org/officeDocument/2006/relationships/hyperlink" Target="https://www.sec.gov/Archives/edgar/data/1826011/000119312523300033/d449527dex45.htm" TargetMode="External"/><Relationship Id="rId26" Type="http://schemas.openxmlformats.org/officeDocument/2006/relationships/hyperlink" Target="https://www.sec.gov/Archives/edgar/data/1826011/000119312523300033/d449527dex47.htm" TargetMode="External"/><Relationship Id="rId27" Type="http://schemas.openxmlformats.org/officeDocument/2006/relationships/hyperlink" Target="https://www.sec.gov/Archives/edgar/data/1826011/000119312523300033/d449527dex47.htm" TargetMode="External"/><Relationship Id="rId28" Type="http://schemas.openxmlformats.org/officeDocument/2006/relationships/hyperlink" Target="https://www.sec.gov/Archives/edgar/data/1826011/000119312523297160/d564833dex102.htm" TargetMode="External"/><Relationship Id="rId29" Type="http://schemas.openxmlformats.org/officeDocument/2006/relationships/hyperlink" Target="https://www.sec.gov/Archives/edgar/data/1826011/000119312524023808/d567008dex411.htm" TargetMode="External"/><Relationship Id="rId30" Type="http://schemas.openxmlformats.org/officeDocument/2006/relationships/hyperlink" Target="https://www.sec.gov/Archives/edgar/data/1826011/000119312524023808/d567008dex411.htm" TargetMode="External"/><Relationship Id="rId31" Type="http://schemas.openxmlformats.org/officeDocument/2006/relationships/hyperlink" Target="https://www.sec.gov/Archives/edgar/data/1826011/000095017025054303/bnzi-ex4_10.htm" TargetMode="External"/><Relationship Id="rId32" Type="http://schemas.openxmlformats.org/officeDocument/2006/relationships/hyperlink" Target="https://www.sec.gov/Archives/edgar/data/1826011/000149315224050696/ex3-1.htm" TargetMode="External"/><Relationship Id="rId33" Type="http://schemas.openxmlformats.org/officeDocument/2006/relationships/hyperlink" Target="https://www.sec.gov/Archives/edgar/data/1826011/000164117225017861/ex4-1.htm" TargetMode="External"/><Relationship Id="rId34" Type="http://schemas.openxmlformats.org/officeDocument/2006/relationships/hyperlink" Target="https://www.sec.gov/Archives/edgar/data/1826011/000164117225017861/ex4-2.htm" TargetMode="External"/><Relationship Id="rId35" Type="http://schemas.openxmlformats.org/officeDocument/2006/relationships/hyperlink" Target="https://www.sec.gov/Archives/edgar/data/1826011/000149315225012268/ex4-3.htm" TargetMode="External"/><Relationship Id="rId36" Type="http://schemas.openxmlformats.org/officeDocument/2006/relationships/hyperlink" Target="https://www.sec.gov/Archives/edgar/data/1826011/000149315225012268/ex4-4.htm" TargetMode="External"/><Relationship Id="rId37" Type="http://schemas.openxmlformats.org/officeDocument/2006/relationships/hyperlink" Target="https://www.sec.gov/Archives/edgar/data/1826011/000121390020044825/ea132294ex10-1_7gcholdings.htm" TargetMode="External"/><Relationship Id="rId38" Type="http://schemas.openxmlformats.org/officeDocument/2006/relationships/hyperlink" Target="https://www.sec.gov/Archives/edgar/data/1826011/000121390020044825/ea132294ex10-1_7gcholdings.htm" TargetMode="External"/><Relationship Id="rId39" Type="http://schemas.openxmlformats.org/officeDocument/2006/relationships/hyperlink" Target="https://www.sec.gov/Archives/edgar/data/1826011/000121390020044825/ea132294ex10-5_7gcholdings.htm" TargetMode="External"/><Relationship Id="rId40" Type="http://schemas.openxmlformats.org/officeDocument/2006/relationships/hyperlink" Target="https://www.sec.gov/Archives/edgar/data/1826011/000121390020044825/ea132294ex10-5_7gcholdings.htm" TargetMode="External"/><Relationship Id="rId41" Type="http://schemas.openxmlformats.org/officeDocument/2006/relationships/hyperlink" Target="https://www.sec.gov/Archives/edgar/data/1826011/000119312523300033/d449527dex106.htm" TargetMode="External"/><Relationship Id="rId42" Type="http://schemas.openxmlformats.org/officeDocument/2006/relationships/hyperlink" Target="https://www.sec.gov/Archives/edgar/data/1826011/000119312523300033/d449527dex106.htm" TargetMode="External"/><Relationship Id="rId43" Type="http://schemas.openxmlformats.org/officeDocument/2006/relationships/hyperlink" Target="https://www.sec.gov/Archives/edgar/data/1826011/000119312524076619/d810637dex991.htm" TargetMode="External"/><Relationship Id="rId44" Type="http://schemas.openxmlformats.org/officeDocument/2006/relationships/hyperlink" Target="https://www.sec.gov/Archives/edgar/data/1826011/000119312524076619/d810637dex991.htm" TargetMode="External"/><Relationship Id="rId45" Type="http://schemas.openxmlformats.org/officeDocument/2006/relationships/hyperlink" Target="https://www.sec.gov/Archives/edgar/data/1826011/000119312524076619/d810637dex992.htm" TargetMode="External"/><Relationship Id="rId46" Type="http://schemas.openxmlformats.org/officeDocument/2006/relationships/hyperlink" Target="https://www.sec.gov/Archives/edgar/data/1826011/000119312524076619/d810637dex992.htm" TargetMode="External"/><Relationship Id="rId47" Type="http://schemas.openxmlformats.org/officeDocument/2006/relationships/hyperlink" Target="https://www.sec.gov/Archives/edgar/data/1826011/000119312523225201/d441541dex1016.htm" TargetMode="External"/><Relationship Id="rId48" Type="http://schemas.openxmlformats.org/officeDocument/2006/relationships/hyperlink" Target="https://www.sec.gov/Archives/edgar/data/1826011/000119312523225201/d441541dex1016.htm" TargetMode="External"/><Relationship Id="rId49" Type="http://schemas.openxmlformats.org/officeDocument/2006/relationships/hyperlink" Target="https://www.sec.gov/Archives/edgar/data/1826011/000119312523225201/d441541dex1018.htm" TargetMode="External"/><Relationship Id="rId50" Type="http://schemas.openxmlformats.org/officeDocument/2006/relationships/hyperlink" Target="https://www.sec.gov/Archives/edgar/data/1826011/000119312523250809/d548057dex101.htm" TargetMode="External"/><Relationship Id="rId51" Type="http://schemas.openxmlformats.org/officeDocument/2006/relationships/hyperlink" Target="https://www.sec.gov/Archives/edgar/data/1826011/000119312523250809/d548057dex101.htm" TargetMode="External"/><Relationship Id="rId52" Type="http://schemas.openxmlformats.org/officeDocument/2006/relationships/hyperlink" Target="https://www.sec.gov/Archives/edgar/data/1826011/000119312523297160/d564833dex101.htm" TargetMode="External"/><Relationship Id="rId53" Type="http://schemas.openxmlformats.org/officeDocument/2006/relationships/hyperlink" Target="https://www.sec.gov/Archives/edgar/data/1826011/000119312523297160/d564833dex101.htm" TargetMode="External"/><Relationship Id="rId54" Type="http://schemas.openxmlformats.org/officeDocument/2006/relationships/hyperlink" Target="https://www.sec.gov/Archives/edgar/data/1826011/000119312523297160/d564833dex103.htm" TargetMode="External"/><Relationship Id="rId55" Type="http://schemas.openxmlformats.org/officeDocument/2006/relationships/hyperlink" Target="https://www.sec.gov/Archives/edgar/data/1826011/000119312523297160/d564833dex103.htm" TargetMode="External"/><Relationship Id="rId56" Type="http://schemas.openxmlformats.org/officeDocument/2006/relationships/hyperlink" Target="https://www.sec.gov/Archives/edgar/data/1826011/000119312523300033/d449527dex105.htm" TargetMode="External"/><Relationship Id="rId57" Type="http://schemas.openxmlformats.org/officeDocument/2006/relationships/hyperlink" Target="https://www.sec.gov/Archives/edgar/data/1826011/000119312523300033/d449527dex105.htm" TargetMode="External"/><Relationship Id="rId58" Type="http://schemas.openxmlformats.org/officeDocument/2006/relationships/hyperlink" Target="https://www.sec.gov/Archives/edgar/data/1826011/000119312523300033/d449527dex108.htm" TargetMode="External"/><Relationship Id="rId59" Type="http://schemas.openxmlformats.org/officeDocument/2006/relationships/hyperlink" Target="https://www.sec.gov/Archives/edgar/data/1826011/000119312523300033/d449527dex108.htm" TargetMode="External"/><Relationship Id="rId60" Type="http://schemas.openxmlformats.org/officeDocument/2006/relationships/hyperlink" Target="https://www.sec.gov/Archives/edgar/data/1826011/000119312524023808/d567008dex1026.htm" TargetMode="External"/><Relationship Id="rId61" Type="http://schemas.openxmlformats.org/officeDocument/2006/relationships/hyperlink" Target="https://www.sec.gov/Archives/edgar/data/1826011/000119312524023808/d567008dex1026.htm" TargetMode="External"/><Relationship Id="rId62" Type="http://schemas.openxmlformats.org/officeDocument/2006/relationships/hyperlink" Target="https://www.sec.gov/Archives/edgar/data/1826011/000119312524023808/d567008dex1027.htm" TargetMode="External"/><Relationship Id="rId63" Type="http://schemas.openxmlformats.org/officeDocument/2006/relationships/hyperlink" Target="https://www.sec.gov/Archives/edgar/data/1826011/000119312524023808/d567008dex1027.htm" TargetMode="External"/><Relationship Id="rId64" Type="http://schemas.openxmlformats.org/officeDocument/2006/relationships/hyperlink" Target="https://www.sec.gov/Archives/edgar/data/1826011/000119312524028341/d744391dex104.htm" TargetMode="External"/><Relationship Id="rId65" Type="http://schemas.openxmlformats.org/officeDocument/2006/relationships/hyperlink" Target="https://www.sec.gov/Archives/edgar/data/1826011/000119312524023808/d567008dex1029.htm" TargetMode="External"/><Relationship Id="rId66" Type="http://schemas.openxmlformats.org/officeDocument/2006/relationships/hyperlink" Target="https://www.sec.gov/Archives/edgar/data/1826011/000119312524023808/d567008dex1030.htm" TargetMode="External"/><Relationship Id="rId67" Type="http://schemas.openxmlformats.org/officeDocument/2006/relationships/hyperlink" Target="https://www.sec.gov/Archives/edgar/data/1826011/000119312524023808/d567008dex1030.htm" TargetMode="External"/><Relationship Id="rId68" Type="http://schemas.openxmlformats.org/officeDocument/2006/relationships/hyperlink" Target="https://www.sec.gov/Archives/edgar/data/1826011/000149315225004641/ex10-1.htm" TargetMode="External"/><Relationship Id="rId69" Type="http://schemas.openxmlformats.org/officeDocument/2006/relationships/hyperlink" Target="https://www.sec.gov/Archives/edgar/data/1826011/000149315224038577/ex10-19.htm" TargetMode="External"/><Relationship Id="rId70" Type="http://schemas.openxmlformats.org/officeDocument/2006/relationships/hyperlink" Target="https://www.sec.gov/Archives/edgar/data/1826011/000119312524139915/d842344dex992.htm" TargetMode="External"/><Relationship Id="rId71" Type="http://schemas.openxmlformats.org/officeDocument/2006/relationships/hyperlink" Target="https://www.sec.gov/Archives/edgar/data/1826011/000149315224037198/ex4-12.htm" TargetMode="External"/><Relationship Id="rId72" Type="http://schemas.openxmlformats.org/officeDocument/2006/relationships/hyperlink" Target="https://www.sec.gov/Archives/edgar/data/1826011/000119312524148209/d647173dex101.htm" TargetMode="External"/><Relationship Id="rId73" Type="http://schemas.openxmlformats.org/officeDocument/2006/relationships/hyperlink" Target="https://www.sec.gov/Archives/edgar/data/1826011/000149315224038522/ex10-1.htm" TargetMode="External"/><Relationship Id="rId74" Type="http://schemas.openxmlformats.org/officeDocument/2006/relationships/hyperlink" Target="https://www.sec.gov/Archives/edgar/data/1826011/000149315224038146/ex10-21.htm" TargetMode="External"/><Relationship Id="rId75" Type="http://schemas.openxmlformats.org/officeDocument/2006/relationships/hyperlink" Target="https://www.sec.gov/Archives/edgar/data/1826011/000149315224038146/ex10-20.htm" TargetMode="External"/><Relationship Id="rId76" Type="http://schemas.openxmlformats.org/officeDocument/2006/relationships/hyperlink" Target="https://www.sec.gov/Archives/edgar/data/1826011/000149315224038146/ex10-17.htm" TargetMode="External"/><Relationship Id="rId77" Type="http://schemas.openxmlformats.org/officeDocument/2006/relationships/hyperlink" Target="https://www.sec.gov/Archives/edgar/data/1826011/000149315224038146/ex10-25.htm" TargetMode="External"/><Relationship Id="rId78" Type="http://schemas.openxmlformats.org/officeDocument/2006/relationships/hyperlink" Target="https://www.sec.gov/Archives/edgar/data/1826011/000149315224038146/ex10-24.htm" TargetMode="External"/><Relationship Id="rId79" Type="http://schemas.openxmlformats.org/officeDocument/2006/relationships/hyperlink" Target="https://www.sec.gov/Archives/edgar/data/1826011/000149315224038522/ex10-2.htm" TargetMode="External"/><Relationship Id="rId80" Type="http://schemas.openxmlformats.org/officeDocument/2006/relationships/hyperlink" Target="https://www.sec.gov/Archives/edgar/data/1826011/000149315224041316/ex10-30.htm" TargetMode="External"/><Relationship Id="rId81" Type="http://schemas.openxmlformats.org/officeDocument/2006/relationships/hyperlink" Target="https://www.sec.gov/Archives/edgar/data/1826011/000149315224041316/ex10-30.htm" TargetMode="External"/><Relationship Id="rId82" Type="http://schemas.openxmlformats.org/officeDocument/2006/relationships/hyperlink" Target="https://www.sec.gov/Archives/edgar/data/1826011/000149315224041316/ex10-31.htm" TargetMode="External"/><Relationship Id="rId83" Type="http://schemas.openxmlformats.org/officeDocument/2006/relationships/hyperlink" Target="https://www.sec.gov/Archives/edgar/data/1826011/000149315224041316/ex10-32.htm" TargetMode="External"/><Relationship Id="rId84" Type="http://schemas.openxmlformats.org/officeDocument/2006/relationships/hyperlink" Target="https://www.sec.gov/Archives/edgar/data/1826011/000149315224041316/ex10-32.htm" TargetMode="External"/><Relationship Id="rId85" Type="http://schemas.openxmlformats.org/officeDocument/2006/relationships/hyperlink" Target="https://www.sec.gov/Archives/edgar/data/1826011/000149315224041316/ex10-33.htm" TargetMode="External"/><Relationship Id="rId86" Type="http://schemas.openxmlformats.org/officeDocument/2006/relationships/hyperlink" Target="https://www.sec.gov/Archives/edgar/data/1826011/000149315224041316/ex10-33.htm" TargetMode="External"/><Relationship Id="rId87" Type="http://schemas.openxmlformats.org/officeDocument/2006/relationships/hyperlink" Target="https://www.sec.gov/Archives/edgar/data/1826011/000149315224038146/ex10-6.htm" TargetMode="External"/><Relationship Id="rId88" Type="http://schemas.openxmlformats.org/officeDocument/2006/relationships/hyperlink" Target="https://www.sec.gov/Archives/edgar/data/1826011/000149315224041316/ex10-35.htm" TargetMode="External"/><Relationship Id="rId89" Type="http://schemas.openxmlformats.org/officeDocument/2006/relationships/hyperlink" Target="https://www.sec.gov/Archives/edgar/data/1826011/000149315224041316/ex10-36.htm" TargetMode="External"/><Relationship Id="rId90" Type="http://schemas.openxmlformats.org/officeDocument/2006/relationships/hyperlink" Target="https://www.sec.gov/Archives/edgar/data/1826011/000149315224041316/ex10-37.htm" TargetMode="External"/><Relationship Id="rId91" Type="http://schemas.openxmlformats.org/officeDocument/2006/relationships/hyperlink" Target="https://www.sec.gov/Archives/edgar/data/1826011/000149315224041316/ex10-38.htm" TargetMode="External"/><Relationship Id="rId92" Type="http://schemas.openxmlformats.org/officeDocument/2006/relationships/hyperlink" Target="https://www.sec.gov/Archives/edgar/data/1826011/000149315224041316/ex10-38.htm" TargetMode="External"/><Relationship Id="rId93" Type="http://schemas.openxmlformats.org/officeDocument/2006/relationships/hyperlink" Target="https://www.sec.gov/Archives/edgar/data/1826011/000149315224041316/ex10-39.htm" TargetMode="External"/><Relationship Id="rId94" Type="http://schemas.openxmlformats.org/officeDocument/2006/relationships/hyperlink" Target="https://www.sec.gov/Archives/edgar/data/1826011/000149315224041316/ex10-39.htm" TargetMode="External"/><Relationship Id="rId95" Type="http://schemas.openxmlformats.org/officeDocument/2006/relationships/hyperlink" Target="https://www.sec.gov/Archives/edgar/data/1826011/000149315224041316/ex10-40.htm" TargetMode="External"/><Relationship Id="rId96" Type="http://schemas.openxmlformats.org/officeDocument/2006/relationships/hyperlink" Target="https://www.sec.gov/Archives/edgar/data/1826011/000149315224041316/ex10-40.htm" TargetMode="External"/><Relationship Id="rId97" Type="http://schemas.openxmlformats.org/officeDocument/2006/relationships/hyperlink" Target="https://www.sec.gov/Archives/edgar/data/1826011/000149315224041316/ex10-41.htm" TargetMode="External"/><Relationship Id="rId98" Type="http://schemas.openxmlformats.org/officeDocument/2006/relationships/hyperlink" Target="https://www.sec.gov/Archives/edgar/data/1826011/000149315224049374/ex10-1.htm" TargetMode="External"/><Relationship Id="rId99" Type="http://schemas.openxmlformats.org/officeDocument/2006/relationships/hyperlink" Target="https://www.sec.gov/Archives/edgar/data/1826011/000149315224049374/ex10-2.htm" TargetMode="External"/><Relationship Id="rId100" Type="http://schemas.openxmlformats.org/officeDocument/2006/relationships/hyperlink" Target="https://www.sec.gov/Archives/edgar/data/1826011/000149315225003319/ex10-1.htm" TargetMode="External"/><Relationship Id="rId101" Type="http://schemas.openxmlformats.org/officeDocument/2006/relationships/hyperlink" Target="https://www.sec.gov/Archives/edgar/data/1826011/000149315225003319/ex10-2.htm" TargetMode="External"/><Relationship Id="rId102" Type="http://schemas.openxmlformats.org/officeDocument/2006/relationships/hyperlink" Target="https://www.sec.gov/Archives/edgar/data/1826011/000149315225003319/ex10-3.htm" TargetMode="External"/><Relationship Id="rId103" Type="http://schemas.openxmlformats.org/officeDocument/2006/relationships/hyperlink" Target="https://www.sec.gov/Archives/edgar/data/1826011/000149315225003319/ex10-4.htm" TargetMode="External"/><Relationship Id="rId104" Type="http://schemas.openxmlformats.org/officeDocument/2006/relationships/hyperlink" Target="https://www.sec.gov/Archives/edgar/data/1826011/000149315225003319/ex10-5.htm" TargetMode="External"/><Relationship Id="rId105" Type="http://schemas.openxmlformats.org/officeDocument/2006/relationships/hyperlink" Target="https://www.sec.gov/Archives/edgar/data/1826011/000149315224049374/ex10-3.htm" TargetMode="External"/><Relationship Id="rId106" Type="http://schemas.openxmlformats.org/officeDocument/2006/relationships/hyperlink" Target="https://www.sec.gov/Archives/edgar/data/1826011/000149315224050891/ex10-1.htm" TargetMode="External"/><Relationship Id="rId107" Type="http://schemas.openxmlformats.org/officeDocument/2006/relationships/hyperlink" Target="https://www.sec.gov/Archives/edgar/data/1826011/000149315224050891/ex10-2.htm" TargetMode="External"/><Relationship Id="rId108" Type="http://schemas.openxmlformats.org/officeDocument/2006/relationships/hyperlink" Target="https://www.sec.gov/Archives/edgar/data/1826011/000149315224050891/ex10-3.htm" TargetMode="External"/><Relationship Id="rId109" Type="http://schemas.openxmlformats.org/officeDocument/2006/relationships/hyperlink" Target="https://www.sec.gov/Archives/edgar/data/1826011/000149315225004502/ex10-3.htm" TargetMode="External"/><Relationship Id="rId110" Type="http://schemas.openxmlformats.org/officeDocument/2006/relationships/hyperlink" Target="https://www.sec.gov/Archives/edgar/data/1826011/000164117225017861/ex10-1.htm" TargetMode="External"/><Relationship Id="rId111" Type="http://schemas.openxmlformats.org/officeDocument/2006/relationships/hyperlink" Target="https://www.sec.gov/Archives/edgar/data/1826011/000164117225017861/ex10-2.htm" TargetMode="External"/><Relationship Id="rId112" Type="http://schemas.openxmlformats.org/officeDocument/2006/relationships/hyperlink" Target="https://www.sec.gov/Archives/edgar/data/1826011/000164117225017861/ex10-3.htm" TargetMode="External"/><Relationship Id="rId113" Type="http://schemas.openxmlformats.org/officeDocument/2006/relationships/hyperlink" Target="https://www.sec.gov/Archives/edgar/data/1826011/000149315225013900/ex10-1.htm" TargetMode="External"/><Relationship Id="rId114" Type="http://schemas.openxmlformats.org/officeDocument/2006/relationships/fontTable" Target="fontTable.xml"/><Relationship Id="rId1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59487</Words>
  <Characters>317009</Characters>
  <CharactersWithSpaces>379476</CharactersWithSpaces>
  <Paragraphs>13013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