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3" w:lineRule="exact"/>
        <w:rPr>
          <w:sz w:val="24"/>
          <w:szCs w:val="24"/>
          <w:color w:val="auto"/>
        </w:rPr>
      </w:pPr>
    </w:p>
    <w:p>
      <w:pPr>
        <w:ind w:left="1580" w:hanging="225"/>
        <w:spacing w:after="0"/>
        <w:tabs>
          <w:tab w:leader="none" w:pos="1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5" w:lineRule="exact"/>
        <w:rPr>
          <w:rFonts w:ascii="MS PGothic" w:cs="MS PGothic" w:eastAsia="MS PGothic" w:hAnsi="MS PGothic"/>
          <w:sz w:val="16"/>
          <w:szCs w:val="16"/>
          <w:color w:val="auto"/>
        </w:rPr>
      </w:pPr>
    </w:p>
    <w:p>
      <w:pPr>
        <w:ind w:left="42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For the quarterly period ended March 31, 2025</w:t>
      </w:r>
    </w:p>
    <w:p>
      <w:pPr>
        <w:spacing w:after="0" w:line="68" w:lineRule="exact"/>
        <w:rPr>
          <w:rFonts w:ascii="MS PGothic" w:cs="MS PGothic" w:eastAsia="MS PGothic" w:hAnsi="MS PGothic"/>
          <w:sz w:val="16"/>
          <w:szCs w:val="16"/>
          <w:color w:val="auto"/>
        </w:rPr>
      </w:pPr>
    </w:p>
    <w:p>
      <w:pPr>
        <w:ind w:left="554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or</w:t>
      </w:r>
    </w:p>
    <w:p>
      <w:pPr>
        <w:spacing w:after="0" w:line="75" w:lineRule="exact"/>
        <w:rPr>
          <w:rFonts w:ascii="MS PGothic" w:cs="MS PGothic" w:eastAsia="MS PGothic" w:hAnsi="MS PGothic"/>
          <w:sz w:val="16"/>
          <w:szCs w:val="16"/>
          <w:color w:val="auto"/>
        </w:rPr>
      </w:pPr>
    </w:p>
    <w:p>
      <w:pPr>
        <w:ind w:left="1620" w:hanging="238"/>
        <w:spacing w:after="0"/>
        <w:tabs>
          <w:tab w:leader="none" w:pos="162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5"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For the transition period from _________ to _________</w:t>
      </w:r>
    </w:p>
    <w:p>
      <w:pPr>
        <w:spacing w:after="0" w:line="4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6"/>
          <w:szCs w:val="16"/>
          <w:b w:val="1"/>
          <w:bCs w:val="1"/>
          <w:color w:val="auto"/>
        </w:rPr>
        <w:t>001-39826</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37"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80"/>
        <w:spacing w:after="0" w:line="229" w:lineRule="auto"/>
        <w:rPr>
          <w:sz w:val="20"/>
          <w:szCs w:val="20"/>
          <w:color w:val="auto"/>
        </w:rPr>
      </w:pPr>
      <w:r>
        <w:rPr>
          <w:rFonts w:ascii="Times New Roman" w:cs="Times New Roman" w:eastAsia="Times New Roman" w:hAnsi="Times New Roman"/>
          <w:sz w:val="13"/>
          <w:szCs w:val="13"/>
          <w:color w:val="auto"/>
        </w:rPr>
        <w:t>(State or other jurisdiction of</w:t>
      </w:r>
    </w:p>
    <w:p>
      <w:pPr>
        <w:ind w:left="2060"/>
        <w:spacing w:after="0" w:line="235" w:lineRule="auto"/>
        <w:rPr>
          <w:sz w:val="20"/>
          <w:szCs w:val="20"/>
          <w:color w:val="auto"/>
        </w:rPr>
      </w:pPr>
      <w:r>
        <w:rPr>
          <w:rFonts w:ascii="Times New Roman" w:cs="Times New Roman" w:eastAsia="Times New Roman" w:hAnsi="Times New Roman"/>
          <w:sz w:val="13"/>
          <w:szCs w:val="13"/>
          <w:color w:val="auto"/>
        </w:rPr>
        <w:t>incorporation or organization)</w:t>
      </w:r>
    </w:p>
    <w:p>
      <w:pPr>
        <w:ind w:left="1940"/>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Bainbridge Island, Washington</w:t>
      </w:r>
    </w:p>
    <w:p>
      <w:pPr>
        <w:spacing w:after="0" w:line="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85-3118980</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52"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98110</w:t>
      </w:r>
    </w:p>
    <w:p>
      <w:pPr>
        <w:spacing w:after="0" w:line="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color w:val="auto"/>
        </w:rPr>
        <w:t>(Zip Code)</w:t>
      </w:r>
    </w:p>
    <w:p>
      <w:pPr>
        <w:spacing w:after="0" w:line="19" w:lineRule="exact"/>
        <w:rPr>
          <w:sz w:val="24"/>
          <w:szCs w:val="24"/>
          <w:color w:val="auto"/>
        </w:rPr>
      </w:pPr>
    </w:p>
    <w:p>
      <w:pPr>
        <w:sectPr>
          <w:pgSz w:w="11900" w:h="16838" w:orient="portrait"/>
          <w:cols w:equalWidth="0" w:num="2">
            <w:col w:w="7240" w:space="720"/>
            <w:col w:w="3280"/>
          </w:cols>
          <w:pgMar w:left="320" w:top="129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(206) 414-1777</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5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3"/>
                <w:szCs w:val="13"/>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08"/>
        </w:trPr>
        <w:tc>
          <w:tcPr>
            <w:tcW w:w="4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 common stock, par value $0.0001 per share</w:t>
            </w:r>
          </w:p>
        </w:tc>
        <w:tc>
          <w:tcPr>
            <w:tcW w:w="240" w:type="dxa"/>
            <w:vAlign w:val="bottom"/>
          </w:tcPr>
          <w:p>
            <w:pPr>
              <w:spacing w:after="0"/>
              <w:rPr>
                <w:sz w:val="9"/>
                <w:szCs w:val="9"/>
                <w:color w:val="auto"/>
              </w:rPr>
            </w:pPr>
          </w:p>
        </w:tc>
        <w:tc>
          <w:tcPr>
            <w:tcW w:w="18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BNZI</w:t>
            </w:r>
          </w:p>
        </w:tc>
        <w:tc>
          <w:tcPr>
            <w:tcW w:w="220" w:type="dxa"/>
            <w:vAlign w:val="bottom"/>
          </w:tcPr>
          <w:p>
            <w:pPr>
              <w:spacing w:after="0"/>
              <w:rPr>
                <w:sz w:val="9"/>
                <w:szCs w:val="9"/>
                <w:color w:val="auto"/>
              </w:rPr>
            </w:pPr>
          </w:p>
        </w:tc>
        <w:tc>
          <w:tcPr>
            <w:tcW w:w="4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Capital Market</w:t>
            </w:r>
          </w:p>
        </w:tc>
      </w:tr>
      <w:tr>
        <w:trPr>
          <w:trHeight w:val="135"/>
        </w:trPr>
        <w:tc>
          <w:tcPr>
            <w:tcW w:w="4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 Warrants, each whole warrant exercisable for one share of Class A</w:t>
            </w:r>
          </w:p>
        </w:tc>
        <w:tc>
          <w:tcPr>
            <w:tcW w:w="2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BNZIW</w:t>
            </w:r>
          </w:p>
        </w:tc>
        <w:tc>
          <w:tcPr>
            <w:tcW w:w="220" w:type="dxa"/>
            <w:vAlign w:val="bottom"/>
          </w:tcPr>
          <w:p>
            <w:pPr>
              <w:spacing w:after="0"/>
              <w:rPr>
                <w:sz w:val="11"/>
                <w:szCs w:val="11"/>
                <w:color w:val="auto"/>
              </w:rPr>
            </w:pPr>
          </w:p>
        </w:tc>
        <w:tc>
          <w:tcPr>
            <w:tcW w:w="4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Nasdaq Capital Market</w:t>
            </w:r>
          </w:p>
        </w:tc>
      </w:tr>
      <w:tr>
        <w:trPr>
          <w:trHeight w:val="166"/>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at an exercise price of $11.50</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r>
    </w:tbl>
    <w:p>
      <w:pPr>
        <w:spacing w:after="0" w:line="232"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81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$0.0001 par value per share, as of May 13, 2025:</w:t>
      </w:r>
    </w:p>
    <w:p>
      <w:pPr>
        <w:spacing w:after="0" w:line="7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A Common Stock - 16,645,627 shares</w:t>
      </w:r>
    </w:p>
    <w:p>
      <w:pPr>
        <w:spacing w:after="0" w:line="7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B Common Stock - 2,311,134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2025 (Unaudited) and December 31,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March 31,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(Deficit) for the three months ended March</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31,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96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11"/>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780,764</w:t>
            </w:r>
          </w:p>
        </w:tc>
        <w:tc>
          <w:tcPr>
            <w:tcW w:w="3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1,087,497</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$14,503 and $24,210, respectively</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1,028,379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936,321</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831,394</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643,674</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2"/>
                <w:szCs w:val="12"/>
                <w:color w:val="auto"/>
              </w:rPr>
            </w:pPr>
          </w:p>
        </w:tc>
        <w:tc>
          <w:tcPr>
            <w:tcW w:w="1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2,640,537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2,667,492</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10,889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3,539</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8,936,187</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3,883,853</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21,991,721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18,972,475</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66,896</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72,565</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Bifurcated embedded derivative asset - related party</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13,984</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11,154</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33,680,214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25,674,078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2,830,450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7,782,746</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4,030,965</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3,891,018</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(Yorkville)</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1,684,000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 related party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8,104,901</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8,639,701</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215,057</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Notes payable, carried at fair value</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5,949,001</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3,575,000</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Warrant liability - related party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4,600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Earnout liability</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2,046,370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14,850</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167,118</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167,118</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4,419,195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3,934,627</w:t>
            </w:r>
          </w:p>
        </w:tc>
        <w:tc>
          <w:tcPr>
            <w:tcW w:w="0" w:type="dxa"/>
            <w:vAlign w:val="bottom"/>
          </w:tcPr>
          <w:p>
            <w:pPr>
              <w:spacing w:after="0"/>
              <w:rPr>
                <w:sz w:val="1"/>
                <w:szCs w:val="1"/>
                <w:color w:val="auto"/>
              </w:rPr>
            </w:pPr>
          </w:p>
        </w:tc>
      </w:tr>
      <w:tr>
        <w:trPr>
          <w:trHeight w:val="149"/>
        </w:trPr>
        <w:tc>
          <w:tcPr>
            <w:tcW w:w="73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23,485</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22,731</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2"/>
                <w:szCs w:val="12"/>
                <w:color w:val="auto"/>
              </w:rPr>
            </w:pPr>
          </w:p>
        </w:tc>
        <w:tc>
          <w:tcPr>
            <w:tcW w:w="1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29,271,085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28,260,148</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111,161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117,643</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1,309,333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10,115</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43,765</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49,974</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30,735,344</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28,437,880</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$0.0001 par value, 275,000,000 (250,000,000 Class A and 25,000,000 Class B) shares authorized and</w:t>
            </w: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14,686,775 (12,375,641 Class A and 2,311,134 Class B) and 8,195,163 (5,884,029 Class A and 2,311,134 Class B) issued</w:t>
            </w:r>
          </w:p>
        </w:tc>
        <w:tc>
          <w:tcPr>
            <w:tcW w:w="240" w:type="dxa"/>
            <w:vAlign w:val="bottom"/>
          </w:tcPr>
          <w:p>
            <w:pPr>
              <w:spacing w:after="0"/>
              <w:rPr>
                <w:sz w:val="12"/>
                <w:szCs w:val="12"/>
                <w:color w:val="auto"/>
              </w:rPr>
            </w:pPr>
          </w:p>
        </w:tc>
        <w:tc>
          <w:tcPr>
            <w:tcW w:w="1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and outstanding at March 31, 2025 and December 31, 2024, respectively</w:t>
            </w:r>
          </w:p>
        </w:tc>
        <w:tc>
          <w:tcPr>
            <w:tcW w:w="2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75,000,000 shares authorized, 1 and 1 shares issued and outstanding at March 31, 2025</w:t>
            </w:r>
          </w:p>
        </w:tc>
        <w:tc>
          <w:tcPr>
            <w:tcW w:w="240" w:type="dxa"/>
            <w:vAlign w:val="bottom"/>
            <w:shd w:val="clear" w:color="auto" w:fill="CFF0FC"/>
          </w:tcPr>
          <w:p>
            <w:pPr>
              <w:spacing w:after="0"/>
              <w:rPr>
                <w:sz w:val="10"/>
                <w:szCs w:val="10"/>
                <w:color w:val="auto"/>
              </w:rPr>
            </w:pPr>
          </w:p>
        </w:tc>
        <w:tc>
          <w:tcPr>
            <w:tcW w:w="1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December 31, 2024</w:t>
            </w:r>
          </w:p>
        </w:tc>
        <w:tc>
          <w:tcPr>
            <w:tcW w:w="240" w:type="dxa"/>
            <w:vAlign w:val="bottom"/>
            <w:shd w:val="clear" w:color="auto" w:fill="CFF0FC"/>
          </w:tcPr>
          <w:p>
            <w:pPr>
              <w:spacing w:after="0"/>
              <w:rPr>
                <w:sz w:val="14"/>
                <w:szCs w:val="14"/>
                <w:color w:val="auto"/>
              </w:rPr>
            </w:pPr>
          </w:p>
        </w:tc>
        <w:tc>
          <w:tcPr>
            <w:tcW w:w="1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84,866,612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75,515,111</w:t>
            </w:r>
          </w:p>
        </w:tc>
        <w:tc>
          <w:tcPr>
            <w:tcW w:w="0" w:type="dxa"/>
            <w:vAlign w:val="bottom"/>
          </w:tcPr>
          <w:p>
            <w:pPr>
              <w:spacing w:after="0"/>
              <w:rPr>
                <w:sz w:val="1"/>
                <w:szCs w:val="1"/>
                <w:color w:val="auto"/>
              </w:rPr>
            </w:pPr>
          </w:p>
        </w:tc>
      </w:tr>
      <w:tr>
        <w:trPr>
          <w:trHeight w:val="149"/>
        </w:trPr>
        <w:tc>
          <w:tcPr>
            <w:tcW w:w="73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(81,923,192)</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(78,279,713)</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Stockholders' equity (deficit)</w:t>
            </w: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2,944,870</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(2,763,802)</w:t>
            </w:r>
          </w:p>
        </w:tc>
        <w:tc>
          <w:tcPr>
            <w:tcW w:w="0" w:type="dxa"/>
            <w:vAlign w:val="bottom"/>
          </w:tcPr>
          <w:p>
            <w:pPr>
              <w:spacing w:after="0"/>
              <w:rPr>
                <w:sz w:val="1"/>
                <w:szCs w:val="1"/>
                <w:color w:val="auto"/>
              </w:rPr>
            </w:pPr>
          </w:p>
        </w:tc>
      </w:tr>
      <w:tr>
        <w:trPr>
          <w:trHeight w:val="182"/>
        </w:trPr>
        <w:tc>
          <w:tcPr>
            <w:tcW w:w="73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33,680,214</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25,674,078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-4165600</wp:posOffset>
            </wp:positionV>
            <wp:extent cx="85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-3402330</wp:posOffset>
            </wp:positionV>
            <wp:extent cx="85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-1859280</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-1276350</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-230505</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6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5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Revenue</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3,379,083</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1,079,472</w:t>
            </w:r>
          </w:p>
        </w:tc>
      </w:tr>
      <w:tr>
        <w:trPr>
          <w:trHeight w:val="203"/>
        </w:trPr>
        <w:tc>
          <w:tcPr>
            <w:tcW w:w="6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Cost of revenue</w:t>
            </w:r>
          </w:p>
        </w:tc>
        <w:tc>
          <w:tcPr>
            <w:tcW w:w="1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605,999</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381,380</w:t>
            </w:r>
          </w:p>
        </w:tc>
      </w:tr>
      <w:tr>
        <w:trPr>
          <w:trHeight w:val="19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Gross profit</w:t>
            </w: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2,773,084</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698,092</w:t>
            </w:r>
          </w:p>
        </w:tc>
      </w:tr>
      <w:tr>
        <w:trPr>
          <w:trHeight w:val="196"/>
        </w:trPr>
        <w:tc>
          <w:tcPr>
            <w:tcW w:w="65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7,433,088</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4,098,789</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246,691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1,564</w:t>
            </w:r>
          </w:p>
        </w:tc>
      </w:tr>
      <w:tr>
        <w:trPr>
          <w:trHeight w:val="196"/>
        </w:trPr>
        <w:tc>
          <w:tcPr>
            <w:tcW w:w="65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7,679,779</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4,100,353</w:t>
            </w:r>
          </w:p>
        </w:tc>
      </w:tr>
      <w:tr>
        <w:trPr>
          <w:trHeight w:val="196"/>
        </w:trPr>
        <w:tc>
          <w:tcPr>
            <w:tcW w:w="6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6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loss</w:t>
            </w:r>
          </w:p>
        </w:tc>
        <w:tc>
          <w:tcPr>
            <w:tcW w:w="1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(4,906,695)</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(3,402,261)</w:t>
            </w:r>
          </w:p>
        </w:tc>
      </w:tr>
      <w:tr>
        <w:trPr>
          <w:trHeight w:val="196"/>
        </w:trPr>
        <w:tc>
          <w:tcPr>
            <w:tcW w:w="6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 (income):</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GEM settlement fee expense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r>
      <w:tr>
        <w:trPr>
          <w:trHeight w:val="203"/>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income</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451,399</w:t>
            </w:r>
          </w:p>
        </w:tc>
      </w:tr>
      <w:tr>
        <w:trPr>
          <w:trHeight w:val="203"/>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expense - related party</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358,381</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577,513</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extinguishment of liabilities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(4,343,406)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(527,980)</w:t>
            </w:r>
          </w:p>
        </w:tc>
      </w:tr>
      <w:tr>
        <w:trPr>
          <w:trHeight w:val="203"/>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on debt issuance</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273,800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171,000</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extinguishment of term notes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1,769,895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(408,000)</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warrant liability - related party</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w:t>
            </w:r>
          </w:p>
        </w:tc>
      </w:tr>
      <w:tr>
        <w:trPr>
          <w:trHeight w:val="203"/>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fair value of bifurcated embedded derivative assets - related party</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43,000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159,100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544,000</w:t>
            </w:r>
          </w:p>
        </w:tc>
      </w:tr>
      <w:tr>
        <w:trPr>
          <w:trHeight w:val="202"/>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fair value of term notes</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165,906</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convertible bridge notes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on Yorkville SEPA advances</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384,524</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income, net</w:t>
            </w: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(124,531)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w:t>
            </w:r>
          </w:p>
        </w:tc>
      </w:tr>
      <w:tr>
        <w:trPr>
          <w:trHeight w:val="19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other (income) expenses, net</w:t>
            </w:r>
          </w:p>
        </w:tc>
        <w:tc>
          <w:tcPr>
            <w:tcW w:w="1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(1,336,747)</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888,804</w:t>
            </w:r>
          </w:p>
        </w:tc>
      </w:tr>
      <w:tr>
        <w:trPr>
          <w:trHeight w:val="196"/>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(3,569,948)</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(4,291,065)</w:t>
            </w:r>
          </w:p>
        </w:tc>
      </w:tr>
      <w:tr>
        <w:trPr>
          <w:trHeight w:val="19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73,531</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w:t>
            </w:r>
          </w:p>
        </w:tc>
      </w:tr>
      <w:tr>
        <w:trPr>
          <w:trHeight w:val="20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(3,643,479)</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(4,290,132)</w:t>
            </w:r>
          </w:p>
        </w:tc>
      </w:tr>
      <w:tr>
        <w:trPr>
          <w:trHeight w:val="196"/>
        </w:trPr>
        <w:tc>
          <w:tcPr>
            <w:tcW w:w="6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(3,643,479)</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(4,290,132)</w:t>
            </w:r>
          </w:p>
        </w:tc>
      </w:tr>
      <w:tr>
        <w:trPr>
          <w:trHeight w:val="183"/>
        </w:trPr>
        <w:tc>
          <w:tcPr>
            <w:tcW w:w="6500" w:type="dxa"/>
            <w:vAlign w:val="bottom"/>
            <w:tcBorders>
              <w:top w:val="single" w:sz="8" w:color="CFF0FC"/>
            </w:tcBorders>
          </w:tcPr>
          <w:p>
            <w:pPr>
              <w:spacing w:after="0"/>
              <w:rPr>
                <w:sz w:val="15"/>
                <w:szCs w:val="15"/>
                <w:color w:val="auto"/>
              </w:rPr>
            </w:pPr>
          </w:p>
        </w:tc>
        <w:tc>
          <w:tcPr>
            <w:tcW w:w="1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shareholders</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 and diluted</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3"/>
        </w:trPr>
        <w:tc>
          <w:tcPr>
            <w:tcW w:w="6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Basic and diluted</w:t>
            </w:r>
          </w:p>
        </w:tc>
        <w:tc>
          <w:tcPr>
            <w:tcW w:w="1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23,963,166</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2,612,025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-4919980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-4122420</wp:posOffset>
            </wp:positionV>
            <wp:extent cx="102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-3848100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-1516380</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-847725</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-830580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5"/>
                <w:szCs w:val="15"/>
                <w:color w:val="auto"/>
              </w:rPr>
            </w:pPr>
          </w:p>
        </w:tc>
        <w:tc>
          <w:tcPr>
            <w:tcW w:w="13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Series A Preferred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Series FE Preferred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Accumulat</w:t>
            </w:r>
          </w:p>
        </w:tc>
        <w:tc>
          <w:tcPr>
            <w:tcW w:w="100" w:type="dxa"/>
            <w:vAlign w:val="bottom"/>
          </w:tcPr>
          <w:p>
            <w:pPr>
              <w:spacing w:after="0"/>
              <w:rPr>
                <w:sz w:val="13"/>
                <w:szCs w:val="13"/>
                <w:color w:val="auto"/>
              </w:rPr>
            </w:pPr>
          </w:p>
        </w:tc>
        <w:tc>
          <w:tcPr>
            <w:tcW w:w="8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Stockholde</w:t>
            </w: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3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left="48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5"/>
              </w:rPr>
              <w:t>rs'</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740" w:type="dxa"/>
            <w:vAlign w:val="bottom"/>
            <w:tcBorders>
              <w:bottom w:val="single" w:sz="8" w:color="auto"/>
            </w:tcBorders>
            <w:gridSpan w:val="2"/>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14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Share</w:t>
            </w:r>
          </w:p>
        </w:tc>
        <w:tc>
          <w:tcPr>
            <w:tcW w:w="120" w:type="dxa"/>
            <w:vAlign w:val="bottom"/>
          </w:tcPr>
          <w:p>
            <w:pPr>
              <w:spacing w:after="0"/>
              <w:rPr>
                <w:sz w:val="13"/>
                <w:szCs w:val="13"/>
                <w:color w:val="auto"/>
              </w:rPr>
            </w:pPr>
          </w:p>
        </w:tc>
        <w:tc>
          <w:tcPr>
            <w:tcW w:w="720" w:type="dxa"/>
            <w:vAlign w:val="bottom"/>
            <w:tcBorders>
              <w:bottom w:val="single" w:sz="8" w:color="auto"/>
            </w:tcBorders>
            <w:gridSpan w:val="2"/>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4"/>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3"/>
                <w:szCs w:val="13"/>
                <w:color w:val="auto"/>
              </w:rPr>
            </w:pPr>
          </w:p>
        </w:tc>
        <w:tc>
          <w:tcPr>
            <w:tcW w:w="680" w:type="dxa"/>
            <w:vAlign w:val="bottom"/>
            <w:tcBorders>
              <w:bottom w:val="single" w:sz="8" w:color="auto"/>
            </w:tcBorders>
            <w:gridSpan w:val="4"/>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gridSpan w:val="4"/>
          </w:tcPr>
          <w:p>
            <w:pPr>
              <w:jc w:val="right"/>
              <w:ind w:right="204"/>
              <w:spacing w:after="0" w:line="15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4"/>
              <w:spacing w:after="0" w:line="156"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38"/>
        </w:trPr>
        <w:tc>
          <w:tcPr>
            <w:tcW w:w="3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8,195,16</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gridSpan w:val="5"/>
            <w:shd w:val="clear" w:color="auto" w:fill="CFF0FC"/>
          </w:tcPr>
          <w:p>
            <w:pPr>
              <w:jc w:val="right"/>
              <w:spacing w:after="0" w:line="138" w:lineRule="exact"/>
              <w:rPr>
                <w:sz w:val="20"/>
                <w:szCs w:val="20"/>
                <w:color w:val="auto"/>
              </w:rPr>
            </w:pPr>
            <w:r>
              <w:rPr>
                <w:rFonts w:ascii="Times New Roman" w:cs="Times New Roman" w:eastAsia="Times New Roman" w:hAnsi="Times New Roman"/>
                <w:sz w:val="15"/>
                <w:szCs w:val="15"/>
                <w:color w:val="auto"/>
              </w:rPr>
              <w:t>75,515,1</w:t>
            </w:r>
          </w:p>
        </w:tc>
        <w:tc>
          <w:tcPr>
            <w:tcW w:w="1060" w:type="dxa"/>
            <w:vAlign w:val="bottom"/>
            <w:gridSpan w:val="6"/>
            <w:shd w:val="clear" w:color="auto" w:fill="CFF0FC"/>
          </w:tcPr>
          <w:p>
            <w:pPr>
              <w:jc w:val="right"/>
              <w:ind w:right="64"/>
              <w:spacing w:after="0" w:line="138" w:lineRule="exact"/>
              <w:rPr>
                <w:sz w:val="20"/>
                <w:szCs w:val="20"/>
                <w:color w:val="auto"/>
              </w:rPr>
            </w:pPr>
            <w:r>
              <w:rPr>
                <w:rFonts w:ascii="Times New Roman" w:cs="Times New Roman" w:eastAsia="Times New Roman" w:hAnsi="Times New Roman"/>
                <w:sz w:val="15"/>
                <w:szCs w:val="15"/>
                <w:color w:val="auto"/>
              </w:rPr>
              <w:t>(78,279,7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(2,763,80</w:t>
            </w:r>
          </w:p>
        </w:tc>
        <w:tc>
          <w:tcPr>
            <w:tcW w:w="0" w:type="dxa"/>
            <w:vAlign w:val="bottom"/>
          </w:tcPr>
          <w:p>
            <w:pPr>
              <w:spacing w:after="0"/>
              <w:rPr>
                <w:sz w:val="1"/>
                <w:szCs w:val="1"/>
                <w:color w:val="auto"/>
              </w:rPr>
            </w:pPr>
          </w:p>
        </w:tc>
      </w:tr>
      <w:tr>
        <w:trPr>
          <w:trHeight w:val="179"/>
        </w:trPr>
        <w:tc>
          <w:tcPr>
            <w:tcW w:w="3120" w:type="dxa"/>
            <w:vAlign w:val="bottom"/>
            <w:vMerge w:val="continue"/>
            <w:shd w:val="clear" w:color="auto" w:fill="CFF0FC"/>
          </w:tcPr>
          <w:p>
            <w:pPr>
              <w:spacing w:after="0"/>
              <w:rPr>
                <w:sz w:val="15"/>
                <w:szCs w:val="15"/>
                <w:color w:val="auto"/>
              </w:rPr>
            </w:pPr>
          </w:p>
        </w:tc>
        <w:tc>
          <w:tcPr>
            <w:tcW w:w="7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3"/>
            <w:shd w:val="clear" w:color="auto" w:fill="CFF0FC"/>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right w:val="single" w:sz="8" w:color="CFF0FC"/>
            </w:tcBorders>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lef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w:t>
            </w:r>
          </w:p>
        </w:tc>
        <w:tc>
          <w:tcPr>
            <w:tcW w:w="3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680" w:type="dxa"/>
            <w:vAlign w:val="bottom"/>
            <w:gridSpan w:val="3"/>
            <w:shd w:val="clear" w:color="auto" w:fill="CFF0FC"/>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45"/>
        </w:trPr>
        <w:tc>
          <w:tcPr>
            <w:tcW w:w="31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shares to Yorkville under the SEPA</w:t>
            </w:r>
          </w:p>
        </w:tc>
        <w:tc>
          <w:tcPr>
            <w:tcW w:w="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5,075,63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5"/>
                <w:szCs w:val="15"/>
                <w:color w:val="auto"/>
              </w:rPr>
              <w:t>7,071,09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agreement</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gridSpan w:val="3"/>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7,071,606</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to Hudson for consulting fee</w:t>
            </w:r>
          </w:p>
        </w:tc>
        <w:tc>
          <w:tcPr>
            <w:tcW w:w="740" w:type="dxa"/>
            <w:vAlign w:val="bottom"/>
            <w:gridSpan w:val="2"/>
            <w:shd w:val="clear" w:color="auto" w:fill="CFF0FC"/>
          </w:tcPr>
          <w:p>
            <w:pPr>
              <w:ind w:left="5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150,000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920" w:type="dxa"/>
            <w:vAlign w:val="bottom"/>
            <w:gridSpan w:val="5"/>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232,485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gridSpan w:val="3"/>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232,500</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for payment to Verista</w:t>
            </w:r>
          </w:p>
        </w:tc>
        <w:tc>
          <w:tcPr>
            <w:tcW w:w="74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780" w:type="dxa"/>
            <w:vAlign w:val="bottom"/>
            <w:gridSpan w:val="3"/>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30,000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920" w:type="dxa"/>
            <w:vAlign w:val="bottom"/>
            <w:gridSpan w:val="5"/>
          </w:tcPr>
          <w:p>
            <w:pPr>
              <w:jc w:val="right"/>
              <w:spacing w:after="0" w:line="162" w:lineRule="exact"/>
              <w:rPr>
                <w:sz w:val="20"/>
                <w:szCs w:val="20"/>
                <w:color w:val="auto"/>
              </w:rPr>
            </w:pPr>
            <w:r>
              <w:rPr>
                <w:rFonts w:ascii="Times New Roman" w:cs="Times New Roman" w:eastAsia="Times New Roman" w:hAnsi="Times New Roman"/>
                <w:sz w:val="15"/>
                <w:szCs w:val="15"/>
                <w:color w:val="auto"/>
              </w:rPr>
              <w:t>49,797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3"/>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49,800</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RSU's</w:t>
            </w:r>
          </w:p>
        </w:tc>
        <w:tc>
          <w:tcPr>
            <w:tcW w:w="740" w:type="dxa"/>
            <w:vAlign w:val="bottom"/>
            <w:gridSpan w:val="2"/>
            <w:shd w:val="clear" w:color="auto" w:fill="CFF0FC"/>
          </w:tcPr>
          <w:p>
            <w:pPr>
              <w:ind w:left="5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337,773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40" w:type="dxa"/>
            <w:vAlign w:val="bottom"/>
            <w:gridSpan w:val="3"/>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gridSpan w:val="3"/>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31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Shares issued for Vidello acquisition</w:t>
            </w:r>
          </w:p>
        </w:tc>
        <w:tc>
          <w:tcPr>
            <w:tcW w:w="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5"/>
                <w:szCs w:val="15"/>
                <w:color w:val="auto"/>
              </w:rPr>
              <w:t>1,661,58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44"/>
              <w:spacing w:after="0"/>
              <w:rPr>
                <w:sz w:val="20"/>
                <w:szCs w:val="20"/>
                <w:color w:val="auto"/>
              </w:rPr>
            </w:pPr>
            <w:r>
              <w:rPr>
                <w:rFonts w:ascii="Times New Roman" w:cs="Times New Roman" w:eastAsia="Times New Roman" w:hAnsi="Times New Roman"/>
                <w:sz w:val="15"/>
                <w:szCs w:val="15"/>
                <w:color w:val="auto"/>
              </w:rPr>
              <w:t>898,204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gridSpan w:val="3"/>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1,661,677</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740" w:type="dxa"/>
            <w:vAlign w:val="bottom"/>
            <w:gridSpan w:val="2"/>
            <w:shd w:val="clear" w:color="auto" w:fill="CFF0FC"/>
          </w:tcPr>
          <w:p>
            <w:pPr>
              <w:ind w:left="5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5"/>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336,568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gridSpan w:val="3"/>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336,568</w:t>
            </w:r>
          </w:p>
        </w:tc>
        <w:tc>
          <w:tcPr>
            <w:tcW w:w="0" w:type="dxa"/>
            <w:vAlign w:val="bottom"/>
          </w:tcPr>
          <w:p>
            <w:pPr>
              <w:spacing w:after="0"/>
              <w:rPr>
                <w:sz w:val="1"/>
                <w:szCs w:val="1"/>
                <w:color w:val="auto"/>
              </w:rPr>
            </w:pPr>
          </w:p>
        </w:tc>
      </w:tr>
      <w:tr>
        <w:trPr>
          <w:trHeight w:val="145"/>
        </w:trPr>
        <w:tc>
          <w:tcPr>
            <w:tcW w:w="31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Net loss</w:t>
            </w:r>
          </w:p>
        </w:tc>
        <w:tc>
          <w:tcPr>
            <w:tcW w:w="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6"/>
          </w:tcPr>
          <w:p>
            <w:pPr>
              <w:jc w:val="right"/>
              <w:ind w:right="64"/>
              <w:spacing w:after="0" w:line="145" w:lineRule="exact"/>
              <w:rPr>
                <w:sz w:val="20"/>
                <w:szCs w:val="20"/>
                <w:color w:val="auto"/>
              </w:rPr>
            </w:pPr>
            <w:r>
              <w:rPr>
                <w:rFonts w:ascii="Times New Roman" w:cs="Times New Roman" w:eastAsia="Times New Roman" w:hAnsi="Times New Roman"/>
                <w:sz w:val="15"/>
                <w:szCs w:val="15"/>
                <w:color w:val="auto"/>
              </w:rPr>
              <w:t>(3,643,47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(3,643,47</w:t>
            </w: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34"/>
        </w:trPr>
        <w:tc>
          <w:tcPr>
            <w:tcW w:w="31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Balance March 31, 2025</w:t>
            </w: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8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44"/>
              <w:spacing w:after="0" w:line="134" w:lineRule="exact"/>
              <w:rPr>
                <w:sz w:val="20"/>
                <w:szCs w:val="20"/>
                <w:color w:val="auto"/>
              </w:rPr>
            </w:pPr>
            <w:r>
              <w:rPr>
                <w:rFonts w:ascii="Times New Roman" w:cs="Times New Roman" w:eastAsia="Times New Roman" w:hAnsi="Times New Roman"/>
                <w:sz w:val="15"/>
                <w:szCs w:val="15"/>
                <w:b w:val="1"/>
                <w:bCs w:val="1"/>
                <w:color w:val="auto"/>
              </w:rPr>
              <w:t>14,686,7</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gridSpan w:val="5"/>
            <w:shd w:val="clear" w:color="auto" w:fill="CFF0FC"/>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rPr>
              <w:t>84,866,6</w:t>
            </w:r>
          </w:p>
        </w:tc>
        <w:tc>
          <w:tcPr>
            <w:tcW w:w="1060" w:type="dxa"/>
            <w:vAlign w:val="bottom"/>
            <w:gridSpan w:val="6"/>
            <w:shd w:val="clear" w:color="auto" w:fill="CFF0FC"/>
          </w:tcPr>
          <w:p>
            <w:pPr>
              <w:jc w:val="right"/>
              <w:ind w:right="64"/>
              <w:spacing w:after="0" w:line="134" w:lineRule="exact"/>
              <w:rPr>
                <w:sz w:val="20"/>
                <w:szCs w:val="20"/>
                <w:color w:val="auto"/>
              </w:rPr>
            </w:pPr>
            <w:r>
              <w:rPr>
                <w:rFonts w:ascii="Times New Roman" w:cs="Times New Roman" w:eastAsia="Times New Roman" w:hAnsi="Times New Roman"/>
                <w:sz w:val="15"/>
                <w:szCs w:val="15"/>
                <w:b w:val="1"/>
                <w:bCs w:val="1"/>
                <w:color w:val="auto"/>
              </w:rPr>
              <w:t>(81,923,1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Borders>
              <w:right w:val="single" w:sz="8" w:color="CFF0FC"/>
            </w:tcBorders>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lef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gridSpan w:val="3"/>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75</w:t>
            </w:r>
          </w:p>
        </w:tc>
        <w:tc>
          <w:tcPr>
            <w:tcW w:w="3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1,450</w:t>
            </w:r>
          </w:p>
        </w:tc>
        <w:tc>
          <w:tcPr>
            <w:tcW w:w="680" w:type="dxa"/>
            <w:vAlign w:val="bottom"/>
            <w:gridSpan w:val="3"/>
            <w:shd w:val="clear" w:color="auto" w:fill="CFF0FC"/>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92)</w:t>
            </w: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2,944,870</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3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7"/>
            <w:vMerge w:val="restart"/>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Series A Preferred Stock</w:t>
            </w:r>
          </w:p>
        </w:tc>
        <w:tc>
          <w:tcPr>
            <w:tcW w:w="140" w:type="dxa"/>
            <w:vAlign w:val="bottom"/>
          </w:tcPr>
          <w:p>
            <w:pPr>
              <w:spacing w:after="0"/>
              <w:rPr>
                <w:sz w:val="24"/>
                <w:szCs w:val="24"/>
                <w:color w:val="auto"/>
              </w:rPr>
            </w:pPr>
          </w:p>
        </w:tc>
        <w:tc>
          <w:tcPr>
            <w:tcW w:w="1480" w:type="dxa"/>
            <w:vAlign w:val="bottom"/>
            <w:gridSpan w:val="6"/>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900" w:type="dxa"/>
            <w:vAlign w:val="bottom"/>
            <w:gridSpan w:val="4"/>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Accumulate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right="64"/>
              <w:spacing w:after="0" w:line="170"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24"/>
              <w:spacing w:after="0" w:line="170" w:lineRule="exact"/>
              <w:rPr>
                <w:sz w:val="20"/>
                <w:szCs w:val="20"/>
                <w:color w:val="auto"/>
              </w:rPr>
            </w:pPr>
            <w:r>
              <w:rPr>
                <w:rFonts w:ascii="Times New Roman" w:cs="Times New Roman" w:eastAsia="Times New Roman" w:hAnsi="Times New Roman"/>
                <w:sz w:val="15"/>
                <w:szCs w:val="15"/>
                <w:b w:val="1"/>
                <w:bCs w:val="1"/>
                <w:color w:val="auto"/>
                <w:w w:val="95"/>
              </w:rPr>
              <w:t>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right"/>
              <w:ind w:right="104"/>
              <w:spacing w:after="0" w:line="17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55"/>
        </w:trPr>
        <w:tc>
          <w:tcPr>
            <w:tcW w:w="3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6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3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6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ind w:right="28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3"/>
          </w:tcPr>
          <w:p>
            <w:pPr>
              <w:jc w:val="right"/>
              <w:ind w:right="12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gridSpan w:val="4"/>
          </w:tcPr>
          <w:p>
            <w:pPr>
              <w:jc w:val="center"/>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center"/>
              <w:ind w:right="124"/>
              <w:spacing w:after="0" w:line="15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40"/>
              <w:spacing w:after="0" w:line="15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38"/>
        </w:trPr>
        <w:tc>
          <w:tcPr>
            <w:tcW w:w="31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5"/>
                <w:szCs w:val="15"/>
                <w:color w:val="auto"/>
              </w:rPr>
              <w:t>(46,766,32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2,585,297</w:t>
            </w: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120" w:type="dxa"/>
            <w:vAlign w:val="bottom"/>
            <w:gridSpan w:val="6"/>
          </w:tcPr>
          <w:p>
            <w:pPr>
              <w:jc w:val="right"/>
              <w:ind w:right="44"/>
              <w:spacing w:after="0"/>
              <w:rPr>
                <w:sz w:val="20"/>
                <w:szCs w:val="20"/>
                <w:color w:val="auto"/>
              </w:rPr>
            </w:pPr>
            <w:r>
              <w:rPr>
                <w:rFonts w:ascii="Times New Roman" w:cs="Times New Roman" w:eastAsia="Times New Roman" w:hAnsi="Times New Roman"/>
                <w:sz w:val="15"/>
                <w:szCs w:val="15"/>
                <w:color w:val="auto"/>
              </w:rPr>
              <w:t>$ 14,889,936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(31,876,129)</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Conversion of convertible notes - related party</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17,813</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120" w:type="dxa"/>
            <w:vAlign w:val="bottom"/>
            <w:gridSpan w:val="6"/>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2,540,089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2,540,091</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to Yorkville for convertible notes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44,675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120" w:type="dxa"/>
            <w:vAlign w:val="bottom"/>
            <w:gridSpan w:val="6"/>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1,666,996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1,667,000</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to Yorkville for commitment fee</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14,201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499,999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to Roth for advisory fee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3,500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278,833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278,833</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to GEM</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2,790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for marketing expense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3,070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194,935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194,935</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Forfeiture of sponsor shares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8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42,827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42,827</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left w:val="single" w:sz="8" w:color="CFF0FC"/>
            </w:tcBorders>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(4,290,132)</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99"/>
              </w:rPr>
              <w:t>(4,290,132)</w:t>
            </w:r>
          </w:p>
        </w:tc>
        <w:tc>
          <w:tcPr>
            <w:tcW w:w="0" w:type="dxa"/>
            <w:vAlign w:val="bottom"/>
          </w:tcPr>
          <w:p>
            <w:pPr>
              <w:spacing w:after="0"/>
              <w:rPr>
                <w:sz w:val="1"/>
                <w:szCs w:val="1"/>
                <w:color w:val="auto"/>
              </w:rPr>
            </w:pPr>
          </w:p>
        </w:tc>
      </w:tr>
      <w:tr>
        <w:trPr>
          <w:trHeight w:val="134"/>
        </w:trPr>
        <w:tc>
          <w:tcPr>
            <w:tcW w:w="312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Balance March 31, 2024</w:t>
            </w:r>
          </w:p>
        </w:tc>
        <w:tc>
          <w:tcPr>
            <w:tcW w:w="6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rPr>
              <w:t>(51,056,45</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2,669,346</w:t>
            </w: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266</w:t>
            </w:r>
          </w:p>
        </w:tc>
        <w:tc>
          <w:tcPr>
            <w:tcW w:w="1120" w:type="dxa"/>
            <w:vAlign w:val="bottom"/>
            <w:gridSpan w:val="6"/>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$ 20,213,615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(30,842,575)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-1988185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-1971040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-1988185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-1971040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-1988185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-1971040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-1988185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-1971040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-1988185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-1971040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-1988185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-1971040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-1988185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-1971040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-239395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-239395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-239395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-239395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-239395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-239395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720" w:type="dxa"/>
            <w:vAlign w:val="bottom"/>
            <w:tcBorders>
              <w:bottom w:val="single" w:sz="8" w:color="auto"/>
            </w:tcBorders>
          </w:tcPr>
          <w:p>
            <w:pPr>
              <w:spacing w:after="0"/>
              <w:rPr>
                <w:sz w:val="13"/>
                <w:szCs w:val="13"/>
                <w:color w:val="auto"/>
              </w:rPr>
            </w:pPr>
          </w:p>
        </w:tc>
      </w:tr>
      <w:tr>
        <w:trPr>
          <w:trHeight w:val="128"/>
        </w:trPr>
        <w:tc>
          <w:tcPr>
            <w:tcW w:w="59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Pr>
          <w:p>
            <w:pPr>
              <w:spacing w:after="0"/>
              <w:rPr>
                <w:sz w:val="11"/>
                <w:szCs w:val="11"/>
                <w:color w:val="auto"/>
              </w:rPr>
            </w:pPr>
          </w:p>
        </w:tc>
        <w:tc>
          <w:tcPr>
            <w:tcW w:w="11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1"/>
                <w:szCs w:val="11"/>
                <w:color w:val="auto"/>
              </w:rPr>
            </w:pPr>
          </w:p>
        </w:tc>
      </w:tr>
      <w:tr>
        <w:trPr>
          <w:trHeight w:val="128"/>
        </w:trPr>
        <w:tc>
          <w:tcPr>
            <w:tcW w:w="5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78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740" w:type="dxa"/>
            <w:vAlign w:val="bottom"/>
            <w:gridSpan w:val="2"/>
          </w:tcPr>
          <w:p>
            <w:pPr>
              <w:jc w:val="right"/>
              <w:ind w:right="8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(3,643,479)</w:t>
            </w:r>
          </w:p>
        </w:tc>
        <w:tc>
          <w:tcPr>
            <w:tcW w:w="1120" w:type="dxa"/>
            <w:vAlign w:val="bottom"/>
            <w:gridSpan w:val="2"/>
          </w:tcPr>
          <w:p>
            <w:pPr>
              <w:jc w:val="right"/>
              <w:ind w:right="9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(4,290,132)</w:t>
            </w: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246,691</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1,564</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Provision for credit losses on accounts receivable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(9,707)</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(2,191)</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share issuance for marketing expenses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48,734</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shares issued for consulting expenses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232,500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settlement of GEM commitment fee</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200,000</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Discount at issuance on notes carried at fair value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16,200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interest expense</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374,944</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interest expense - related party</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336,275</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87,758</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(885)</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30,027</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debt discount and issuance costs - related party</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489,755</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operating lease right-of-use assets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5,669</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43,705</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 based compensation expense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336,568</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42,827</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extinguishment of liability</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(4,343,406)</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(527,980)</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debt issuance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273,800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171,000</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extinguishment of term notes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1,769,895</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SEPA issuance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384,524</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liability</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(4,000)</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(408,000)</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liability - related party</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2,300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(115,000)</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bifurcated embedded derivative liabilities - related party</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43,000</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convertible promissory notes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159,100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544,000</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term notes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165,906</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convertible bridge notes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(21,714)</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(82,351)</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72,570</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(187,720)</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(186,558)</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(2,830)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(609,595)</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1,897,046</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36,602</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31,210</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(212,557)</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(524,713)</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(5,455)</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(75,078)</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Earnout liability</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170,481</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(22,274)</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 - long-term</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(6,482)</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Borders>
              <w:bottom w:val="single" w:sz="8" w:color="CFF0FC"/>
            </w:tcBorders>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178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(25,032)</w:t>
            </w:r>
          </w:p>
        </w:tc>
        <w:tc>
          <w:tcPr>
            <w:tcW w:w="140" w:type="dxa"/>
            <w:vAlign w:val="bottom"/>
            <w:tcBorders>
              <w:bottom w:val="single" w:sz="8" w:color="CFF0FC"/>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5940" w:type="dxa"/>
            <w:vAlign w:val="bottom"/>
            <w:tcBorders>
              <w:bottom w:val="single" w:sz="8" w:color="CFF0FC"/>
            </w:tcBorders>
            <w:shd w:val="clear" w:color="auto" w:fill="CFF0FC"/>
          </w:tcPr>
          <w:p>
            <w:pPr>
              <w:ind w:left="24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78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(4,975,702)</w:t>
            </w:r>
          </w:p>
        </w:tc>
        <w:tc>
          <w:tcPr>
            <w:tcW w:w="1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(2,116,786)</w:t>
            </w:r>
          </w:p>
        </w:tc>
      </w:tr>
      <w:tr>
        <w:trPr>
          <w:trHeight w:val="128"/>
        </w:trPr>
        <w:tc>
          <w:tcPr>
            <w:tcW w:w="59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940" w:type="dxa"/>
            <w:vAlign w:val="bottom"/>
            <w:tcBorders>
              <w:bottom w:val="single" w:sz="8" w:color="CFF0FC"/>
            </w:tcBorders>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paid in acquistion of Vidello, net of cash acquired</w:t>
            </w:r>
          </w:p>
        </w:tc>
        <w:tc>
          <w:tcPr>
            <w:tcW w:w="178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(2,677,480)</w:t>
            </w:r>
          </w:p>
        </w:tc>
        <w:tc>
          <w:tcPr>
            <w:tcW w:w="1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594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7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(2,677,480)</w:t>
            </w:r>
          </w:p>
        </w:tc>
        <w:tc>
          <w:tcPr>
            <w:tcW w:w="1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5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 of GEM commitment fee promissory note</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(215,057)</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(1,200,000)</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convertible notes (Yorkville)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(1,877,100)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term notes, net of issuance costs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4,000,000</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term notes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(3,686,086)</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Partial repayment of convertible notes - related party</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(870,190)</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convertible notes, net of issuance costs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3,258,000</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2,250,000</w:t>
            </w: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shares to Yorkville under the SEPA</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6,687,082</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shares issued to Verista</w:t>
            </w:r>
          </w:p>
        </w:tc>
        <w:tc>
          <w:tcPr>
            <w:tcW w:w="1780" w:type="dxa"/>
            <w:vAlign w:val="bottom"/>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49,800</w:t>
            </w:r>
          </w:p>
        </w:tc>
        <w:tc>
          <w:tcPr>
            <w:tcW w:w="140" w:type="dxa"/>
            <w:vAlign w:val="bottom"/>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59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7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7,346,449</w:t>
            </w:r>
          </w:p>
        </w:tc>
        <w:tc>
          <w:tcPr>
            <w:tcW w:w="1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1,050,000</w:t>
            </w:r>
          </w:p>
        </w:tc>
      </w:tr>
      <w:tr>
        <w:trPr>
          <w:trHeight w:val="128"/>
        </w:trPr>
        <w:tc>
          <w:tcPr>
            <w:tcW w:w="5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decrease in cash</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(306,733)</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(1,066,786)</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7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1,087,497</w:t>
            </w:r>
          </w:p>
        </w:tc>
        <w:tc>
          <w:tcPr>
            <w:tcW w:w="1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2,093,718</w:t>
            </w:r>
          </w:p>
        </w:tc>
      </w:tr>
      <w:tr>
        <w:trPr>
          <w:trHeight w:val="169"/>
        </w:trPr>
        <w:tc>
          <w:tcPr>
            <w:tcW w:w="5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2740" w:type="dxa"/>
            <w:vAlign w:val="bottom"/>
            <w:gridSpan w:val="2"/>
            <w:shd w:val="clear" w:color="auto" w:fill="CFF0FC"/>
          </w:tcPr>
          <w:p>
            <w:pPr>
              <w:jc w:val="right"/>
              <w:ind w:right="8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780,764</w:t>
            </w:r>
          </w:p>
        </w:tc>
        <w:tc>
          <w:tcPr>
            <w:tcW w:w="1120" w:type="dxa"/>
            <w:vAlign w:val="bottom"/>
            <w:gridSpan w:val="2"/>
            <w:shd w:val="clear" w:color="auto" w:fill="CFF0FC"/>
          </w:tcPr>
          <w:p>
            <w:pPr>
              <w:jc w:val="right"/>
              <w:ind w:right="9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1,026,932</w:t>
            </w:r>
          </w:p>
        </w:tc>
      </w:tr>
      <w:tr>
        <w:trPr>
          <w:trHeight w:val="115"/>
        </w:trPr>
        <w:tc>
          <w:tcPr>
            <w:tcW w:w="594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78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44,814</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Non-cash investing and financing activities</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issued to Roth for advisory fee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278,833</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to GEM</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100,000</w:t>
            </w: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issued for marketing expenses</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194,935</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to Hudson for consulting fee</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232,500</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Settlement of GEM commitment fee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200,000</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Consideration transferred for acquisition of Vidello</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1,661,677</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Assets acquired in acquisition of Vidello</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8,393,172</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Liabilities assumed in acquisition of Vidello</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3,986,464</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issued to Yorkville of aggregate commitment fee</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500,000</w:t>
            </w: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Conversion of convertible notes - Yorkville</w:t>
            </w:r>
          </w:p>
        </w:tc>
        <w:tc>
          <w:tcPr>
            <w:tcW w:w="1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1,667,000</w:t>
            </w:r>
          </w:p>
        </w:tc>
      </w:tr>
      <w:tr>
        <w:trPr>
          <w:trHeight w:val="135"/>
        </w:trPr>
        <w:tc>
          <w:tcPr>
            <w:tcW w:w="5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Conversion of convertible notes - related party</w:t>
            </w:r>
          </w:p>
        </w:tc>
        <w:tc>
          <w:tcPr>
            <w:tcW w:w="17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2,540,091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-2755265</wp:posOffset>
            </wp:positionV>
            <wp:extent cx="111125"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12827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-2468245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-1606550</wp:posOffset>
            </wp:positionV>
            <wp:extent cx="111125"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12827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-1224915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-1207770</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29, 2024, the Company held a special meeting of securityholders (the “Special Meeting”). At the Special Meeting, the Company’s securityholders approved the proposal to amend the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(the "Reverse Stock Split"). On September 10, 2024, the Board determined to effect a reverse stock split at a ratio of 1-for-50, effective as of September 19, 2024 and filed an amendment with the Secretary of State of the State of Delaware. The Class B Common Stock was not affected by the Reverse Stock Split.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 cash or fractional shares were issued in connection with the Reverse Stock Split, and instead the Company rounded up to the next whole share in lieu of issuing factional shares that would have been issued in the reverse split. </w:t>
      </w:r>
      <w:r>
        <w:rPr>
          <w:rFonts w:ascii="Times New Roman" w:cs="Times New Roman" w:eastAsia="Times New Roman" w:hAnsi="Times New Roman"/>
          <w:sz w:val="18"/>
          <w:szCs w:val="18"/>
          <w:color w:val="212529"/>
        </w:rPr>
        <w:t>Proportional adjustments were made to the number of shares of 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in this Quarterly Report on Form 10-Q has been retroactively adjusted to reflect the impact of the Reverse Stock Split.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closure of the Merger, the Company became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public companies that are not emerging growth companies.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102(b) (1) of the JOBS Act exempts emerging growth companies from being required to comply with new or revised financial accounting standards until private companies are required to comply. Private companies are those companies that have not had a Securities Act registration statement declared effective or do not have a class of securities registered under the Exchange Act of 1934, as amended (the "Exchange Act"). The JOBS Act provides that a company can elect to opt out of the extended transition period and comply with the requirements that apply to non-emerging growth companies.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cash of approximately $0.8 million. For the three months ended March 31, 2025, the Company used approximately $5.0 million in cash for operating activities. The Company has incurred recurring net losses from operations and negative cash flows from operating activities since inception. As of March 31, 2025, the Company had an accumulated deficit of approximately $81.9 million. These factors raise substantial doubt regarding the Company’s ability to continue as a going concern within one year of the date these financial statements were issued.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and equity financings associated with the Yorkville SEPA (as defined in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Company is unsuccessful in completing these planned transactions, it may be required to reduce its spending rate to align with expected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accompanying condensed consolidated financial statements have been prepared assuming that the Company will continue as a going concern and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U.S. GAAP have been omitted pursuant to such rules and regulations of the SEC relating to interim financial statements. The December 31, 2024 balance sheet information was derived from the audited financial statements as of that date. Except as disclosed herein, there has been no material change in the information disclosed in the notes to the consolidated financial statements for the year ended December 31, 2024 included in the Company’s Annual Report on Form 10-K, as filed with the Securities and Exchange Commission on April 15, 2025.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2025 are not necessarily indicative of the results that may be expected for the year ending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Intangible assets are presented at fair value, net of amortization. The fair value is determined based on the appraised value of the asset. Intangible assets are composed of developed technology, trade names and customer lists. Intangible assets subject to amortization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43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432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1,139,710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c>
          <w:tcPr>
            <w:tcW w:w="22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1,635,600</w:t>
            </w:r>
          </w:p>
        </w:tc>
      </w:tr>
      <w:tr>
        <w:trPr>
          <w:trHeight w:val="21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w:t>
            </w: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6,425,010</w:t>
            </w:r>
          </w:p>
        </w:tc>
      </w:tr>
      <w:tr>
        <w:trPr>
          <w:trHeight w:val="210"/>
        </w:trPr>
        <w:tc>
          <w:tcPr>
            <w:tcW w:w="4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9,200,320</w:t>
            </w:r>
          </w:p>
        </w:tc>
      </w:tr>
      <w:tr>
        <w:trPr>
          <w:trHeight w:val="21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(264,133)</w:t>
            </w: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8,936,187</w:t>
            </w:r>
          </w:p>
        </w:tc>
      </w:tr>
      <w:tr>
        <w:trPr>
          <w:trHeight w:val="20"/>
        </w:trPr>
        <w:tc>
          <w:tcPr>
            <w:tcW w:w="4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Total amortization expense related to intangible assets was $244,666 for the three months ended March 31, 2025. Expected amortization expense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Year Ending December 31, 2025</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914,559</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6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6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3,161,948</w:t>
            </w:r>
          </w:p>
        </w:tc>
      </w:tr>
      <w:tr>
        <w:trPr>
          <w:trHeight w:val="249"/>
        </w:trPr>
        <w:tc>
          <w:tcPr>
            <w:tcW w:w="9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8,936,187</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Company periodically evaluates its long-lived assets for potential impairment in accordance with ASC Topic 360, Property, Plant and Equipment </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i w:val="1"/>
          <w:iCs w:val="1"/>
          <w:color w:val="212529"/>
        </w:rPr>
        <w:t>ASC 360</w:t>
      </w:r>
      <w:r>
        <w:rPr>
          <w:rFonts w:ascii="Times New Roman" w:cs="Times New Roman" w:eastAsia="Times New Roman" w:hAnsi="Times New Roman"/>
          <w:sz w:val="18"/>
          <w:szCs w:val="18"/>
          <w:color w:val="212529"/>
        </w:rPr>
        <w:t>”). Potential impairment is assessed when there is evidence that events or changes in circumstances indicate that the carrying amount of an asset</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through March 31</w:t>
      </w:r>
      <w:r>
        <w:rPr>
          <w:rFonts w:ascii="Times New Roman" w:cs="Times New Roman" w:eastAsia="Times New Roman" w:hAnsi="Times New Roman"/>
          <w:sz w:val="18"/>
          <w:szCs w:val="18"/>
          <w:color w:val="000000"/>
        </w:rPr>
        <w:t>, 2025</w:t>
      </w:r>
      <w:r>
        <w:rPr>
          <w:rFonts w:ascii="Times New Roman" w:cs="Times New Roman" w:eastAsia="Times New Roman" w:hAnsi="Times New Roman"/>
          <w:sz w:val="18"/>
          <w:szCs w:val="18"/>
          <w:color w:val="212529"/>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w:t>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contain features that qualify as embedded derivatives. The classification of derivative instruments, including whether such instruments should be recorded as liabilities or as equity, is re-assessed at the end of each reporting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 - related party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originally issued in 7GC's initial public offering (the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Company's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10"/>
        </w:trPr>
        <w:tc>
          <w:tcPr>
            <w:tcW w:w="5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shareholders—basic and diluted</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(3,643,479)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(4,290,132)</w:t>
            </w:r>
          </w:p>
        </w:tc>
      </w:tr>
      <w:tr>
        <w:trPr>
          <w:trHeight w:val="198"/>
        </w:trPr>
        <w:tc>
          <w:tcPr>
            <w:tcW w:w="5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shares—basic and diluted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23,963,166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2,612,025</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2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432"/>
        </w:trPr>
        <w:tc>
          <w:tcPr>
            <w:tcW w:w="5480" w:type="dxa"/>
            <w:vAlign w:val="bottom"/>
          </w:tcPr>
          <w:p>
            <w:pPr>
              <w:spacing w:after="0"/>
              <w:rPr>
                <w:sz w:val="24"/>
                <w:szCs w:val="24"/>
                <w:color w:val="auto"/>
              </w:rPr>
            </w:pPr>
          </w:p>
        </w:tc>
        <w:tc>
          <w:tcPr>
            <w:tcW w:w="23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weighted average share numbers for the three months ended March 31, 2025, include 12,818,425 prefunded warrants which were outstanding throughout the period. No such prefunded warrants were outstanding during the comparative three month period ended March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position that could potentially be dilutive in future periods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23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60" w:type="dxa"/>
            <w:vAlign w:val="bottom"/>
            <w:tcBorders>
              <w:bottom w:val="single" w:sz="8" w:color="auto"/>
            </w:tcBorders>
          </w:tcPr>
          <w:p>
            <w:pPr>
              <w:spacing w:after="0"/>
              <w:rPr>
                <w:sz w:val="20"/>
                <w:szCs w:val="20"/>
                <w:color w:val="auto"/>
              </w:rPr>
            </w:pPr>
          </w:p>
        </w:tc>
      </w:tr>
      <w:tr>
        <w:trPr>
          <w:trHeight w:val="209"/>
        </w:trPr>
        <w:tc>
          <w:tcPr>
            <w:tcW w:w="7700" w:type="dxa"/>
            <w:vAlign w:val="bottom"/>
          </w:tcPr>
          <w:p>
            <w:pPr>
              <w:spacing w:after="0"/>
              <w:rPr>
                <w:sz w:val="18"/>
                <w:szCs w:val="18"/>
                <w:color w:val="auto"/>
              </w:rPr>
            </w:pPr>
          </w:p>
        </w:tc>
        <w:tc>
          <w:tcPr>
            <w:tcW w:w="1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25,661</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16,027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2,607,763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GEM warrant shares</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16,571</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 shares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4,527,613</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104,902</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7,512,510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262,598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 w:cs="Times New Roman" w:eastAsia="Times New Roman" w:hAnsi="Times New Roman"/>
          <w:sz w:val="18"/>
          <w:szCs w:val="18"/>
          <w:i w:val="1"/>
          <w:iCs w:val="1"/>
          <w:color w:val="auto"/>
        </w:rPr>
        <w:t>Note 7 -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xml:space="preserve"> for further detail.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Notes - Fair Value Option Election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determined the Agile Notes and 1800 Diagonal Notes (The "Bridge Notes") (as defined in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were eligible for the fair value option, in accordance with ASC 825-10-50-28, and made such election to account for the Bridge Notes at fair value. 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Company records the portion of the Bridge Notes that are issued and outstanding for accounting purposes at fair value with changes in fair value recorded in other income (expense), net in the condensed consolidated statement of operations, except for the portion of the total change in fair value that results from a change in the instrument-specific credit risk of the Bridge Notes, which is recorded in other comprehensive income (loss), if applicable. The fair value option election was made to align the accounting for the Bridge Notes with the Company's financial reporting objectives and reduce operational effort to account for embedded features that otherwise would require bifurcation as a separate unit of account.</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fair value option election, direct and incremental debt issuance costs and consideration paid to the lender related to the Bridge Notes were expensed as incurred and recorded in other income (expense), net in the condensed consolidated statements of operations. Measurement of the change in fair value of the Bridge Notes includes accrued interest, whether paid-in-kind or cash.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three months ended March 31, 2025 and 2024. The carrying amount of cash, accounts receivable, prepaid</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and other current assets, accounts payable, accrued expenses, deferred revenue, and other current liabilities approximated their fair values as of March 31, 2025 and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amendments improve reportable segment disclosure requirements through enhanced disclosures over significant segment expenses regularly provided to the Chief Operating Decision Maker ("CODM"), extending certain annual disclosures to interim periods, and through permitting more than one measure of segment profit or loss to be reported under certain conditions. The Company adopted this guidance effective December 31, 2024, on a retrospective basis. Refer to </w:t>
      </w:r>
      <w:r>
        <w:rPr>
          <w:rFonts w:ascii="Times New Roman" w:cs="Times New Roman" w:eastAsia="Times New Roman" w:hAnsi="Times New Roman"/>
          <w:sz w:val="18"/>
          <w:szCs w:val="18"/>
          <w:i w:val="1"/>
          <w:iCs w:val="1"/>
          <w:color w:val="auto"/>
        </w:rPr>
        <w:t xml:space="preserve">Note 19 </w:t>
      </w:r>
      <w:r>
        <w:rPr>
          <w:rFonts w:ascii="Times New Roman" w:cs="Times New Roman" w:eastAsia="Times New Roman" w:hAnsi="Times New Roman"/>
          <w:sz w:val="18"/>
          <w:szCs w:val="18"/>
          <w:color w:val="auto"/>
        </w:rPr>
        <w:t>for further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 of Vidello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 Merger Agreement (the "Vidello Merger Agreement"), dated December 19, 2024, by and among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898,204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transaction costs of approximately $730,000 which are included in the Company’s condensed consolidated statement of operations.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Vidello Merger was accounted for as a business combination under the acquisition method pursuant to Accounting Standards Codification Topic 805,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(“ASC 805”), with the Company as the accounting acquirer. Under the acquisition method, the total purchase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2,745,031</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Vidello Stockholders</w:t>
            </w:r>
          </w:p>
        </w:tc>
        <w:tc>
          <w:tcPr>
            <w:tcW w:w="34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1,661,677</w:t>
            </w: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Holdback Amount</w:t>
            </w:r>
          </w:p>
        </w:tc>
        <w:tc>
          <w:tcPr>
            <w:tcW w:w="3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1,861,039</w:t>
            </w:r>
          </w:p>
        </w:tc>
      </w:tr>
      <w:tr>
        <w:trPr>
          <w:trHeight w:val="21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6,267,747</w:t>
            </w: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60" w:type="dxa"/>
            <w:vAlign w:val="bottom"/>
            <w:gridSpan w:val="2"/>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67,551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9,375</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Vidello - Customer relationships</w:t>
            </w:r>
          </w:p>
        </w:tc>
        <w:tc>
          <w:tcPr>
            <w:tcW w:w="27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551,000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Vidello - Trade name</w:t>
            </w:r>
          </w:p>
        </w:tc>
        <w:tc>
          <w:tcPr>
            <w:tcW w:w="2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736,000</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Vidello - Developed Technology</w:t>
            </w:r>
          </w:p>
        </w:tc>
        <w:tc>
          <w:tcPr>
            <w:tcW w:w="274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4,010,000</w:t>
            </w:r>
          </w:p>
        </w:tc>
      </w:tr>
      <w:tr>
        <w:trPr>
          <w:trHeight w:val="210"/>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tcPr>
          <w:p>
            <w:pPr>
              <w:spacing w:after="0"/>
              <w:rPr>
                <w:sz w:val="18"/>
                <w:szCs w:val="18"/>
                <w:color w:val="auto"/>
              </w:rPr>
            </w:pP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5,373,926</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7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7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15,377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 current</w:t>
            </w:r>
          </w:p>
        </w:tc>
        <w:tc>
          <w:tcPr>
            <w:tcW w:w="2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447,966</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7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1,324,250</w:t>
            </w:r>
          </w:p>
        </w:tc>
      </w:tr>
      <w:tr>
        <w:trPr>
          <w:trHeight w:val="216"/>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74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337,127</w:t>
            </w:r>
          </w:p>
        </w:tc>
      </w:tr>
      <w:tr>
        <w:trPr>
          <w:trHeight w:val="210"/>
        </w:trPr>
        <w:tc>
          <w:tcPr>
            <w:tcW w:w="6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7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2,125,425</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7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3,248,501</w:t>
            </w: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27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7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3,019,246</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360" w:type="dxa"/>
            <w:vAlign w:val="bottom"/>
            <w:gridSpan w:val="2"/>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6,267,747</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these condensed consolidated financial statements were issued, the purchase accounting related to this acquisition was incomplete as certain working capital balances were subject to potential change. The Company has reflected the provisional amounts in these condensed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acquisition date fair values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7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Acquisition Date</w:t>
            </w: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38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700" w:type="dxa"/>
            <w:vAlign w:val="bottom"/>
          </w:tcPr>
          <w:p>
            <w:pPr>
              <w:spacing w:after="0"/>
              <w:rPr>
                <w:sz w:val="20"/>
                <w:szCs w:val="20"/>
                <w:color w:val="auto"/>
              </w:rPr>
            </w:pPr>
          </w:p>
        </w:tc>
        <w:tc>
          <w:tcPr>
            <w:tcW w:w="1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Vidello - Customer Relationships</w:t>
            </w:r>
          </w:p>
        </w:tc>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3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551,000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Vidello - Trade name</w:t>
            </w:r>
          </w:p>
        </w:tc>
        <w:tc>
          <w:tcPr>
            <w:tcW w:w="2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3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736,000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Vidello - Technology</w:t>
            </w:r>
          </w:p>
        </w:tc>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7 - 8 years</w:t>
            </w:r>
          </w:p>
        </w:tc>
        <w:tc>
          <w:tcPr>
            <w:tcW w:w="3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4,010,000</w:t>
            </w:r>
          </w:p>
        </w:tc>
      </w:tr>
      <w:tr>
        <w:trPr>
          <w:trHeight w:val="432"/>
        </w:trPr>
        <w:tc>
          <w:tcPr>
            <w:tcW w:w="3980" w:type="dxa"/>
            <w:vAlign w:val="bottom"/>
          </w:tcPr>
          <w:p>
            <w:pPr>
              <w:spacing w:after="0"/>
              <w:rPr>
                <w:sz w:val="24"/>
                <w:szCs w:val="24"/>
                <w:color w:val="auto"/>
              </w:rPr>
            </w:pPr>
          </w:p>
        </w:tc>
        <w:tc>
          <w:tcPr>
            <w:tcW w:w="2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in the Condensed Consolidated Statement of Operations for the three months ended March 31, 2025 includes net income of Vidello from the date of acquisition to March 31, 2025 of approximately $320 thousand.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Vidello acquisition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5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3,609,518</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3,131,557</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796,454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642,725</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7,753,126</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5,176,097</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(1,336,747)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888,804</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(3,603,315)</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(3,576,069)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7GC</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Sponsor paid certain expenses on behalf of 7GC. Upon Closing of the Merger, Banzai assumed the $67,118 liability. As of March 31, 2025, the entire balance remained outstanding and is included within due to related party under current liabilities on the accompanying condensed consolidated balance sheet.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During 2023, Legacy Banzai issued Promissory Notes and Convertible Notes to related parties. See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xml:space="preserve"> for further details related to these transactions and associated balances.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CPBF</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for further details related to the transaction and associated balances.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Company CEO</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2024, the CEO of the Company loaned the Company an advance of $100,000. The advance is non-interest bearing, and matures one year from issuance. As of March 31, 2025, the entire balance remained outstanding and is included within due to related party under current liabilities on the accompanying condensed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The Company measures revenue based on considerations specified in terms and conditions agreed to by a customer. Furthermore, the Company recognizes revenue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As noted within the SOW’s and invoices, agreements range from monthly, to annual, to multi-year and Banzai generally provides for net 30-day payment terms with the payment made directly through check or electronic means.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Banzai’s Management believes its exposure to credit risk is sufficiently mitigated by collection through credit card sales or direct payment from established clients.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the provisions of ASC 606, under which the Company recognizes revenue when the customer obtains control of promised goods or services, in an amount that reflects the consideration which is expected to be received in exchange for those goods or services. The Company recognize revenues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Sales, value add, and other taxes collected on behalf of third parties are excluded from revenue.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ind w:left="5540" w:right="1420" w:hanging="5525"/>
        <w:spacing w:after="0" w:line="282" w:lineRule="auto"/>
        <w:rPr>
          <w:sz w:val="20"/>
          <w:szCs w:val="20"/>
          <w:color w:val="auto"/>
        </w:rPr>
      </w:pPr>
      <w:r>
        <w:rPr>
          <w:rFonts w:ascii="Times New Roman" w:cs="Times New Roman" w:eastAsia="Times New Roman" w:hAnsi="Times New Roman"/>
          <w:sz w:val="18"/>
          <w:szCs w:val="18"/>
          <w:color w:val="auto"/>
        </w:rPr>
        <w:t>The Vidello product is a video hosting and marketing platform designed to help businesses manage, customize, and optimize their video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content. Revenue is generated through Vidello providing video hosting and marketing platform subscription software service for a set period of time. Customer contracting is achieved via self 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$208,000 and $333,000, during the three months ended March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09"/>
        </w:trPr>
        <w:tc>
          <w:tcPr>
            <w:tcW w:w="5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7"/>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09"/>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2,612,044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582,827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556,471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210,568</w:t>
            </w: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110,395</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3,379,083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1,079,472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Closing</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38"/>
        </w:trPr>
        <w:tc>
          <w:tcPr>
            <w:tcW w:w="3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3/31/2025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3/31/2024</w:t>
            </w: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936,321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1,028,379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105,049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34,670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the principal costs incurred to obtain a contract, are earned when the contract is executed. Management has capitalized these costs and amortized the commission expense over time in accordance with the related contract's term. For the three months ended March 31, 2025 and 2024, commission expenses were $91,188 and $270,335, respectively. Certain commission expenses are not capitalized and are instead directly expensed.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commissions at March 31, 2025 and December 31, 2024 were $38,546 and $31,504, respectively, and are included within prepaid expenses and other current assets on the 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costs to obtain a contract activity during the three months ended March 31, 2025 and 2024:</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31,504</w:t>
            </w:r>
          </w:p>
        </w:tc>
      </w:tr>
      <w:tr>
        <w:trPr>
          <w:trHeight w:val="216"/>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7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57,237</w:t>
            </w:r>
          </w:p>
        </w:tc>
      </w:tr>
      <w:tr>
        <w:trPr>
          <w:trHeight w:val="216"/>
        </w:trPr>
        <w:tc>
          <w:tcPr>
            <w:tcW w:w="9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7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(50,195)</w:t>
            </w:r>
          </w:p>
        </w:tc>
      </w:tr>
      <w:tr>
        <w:trPr>
          <w:trHeight w:val="20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7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38,546</w:t>
            </w: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9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r>
      <w:tr>
        <w:trPr>
          <w:trHeight w:val="216"/>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7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31,610</w:t>
            </w:r>
          </w:p>
        </w:tc>
      </w:tr>
      <w:tr>
        <w:trPr>
          <w:trHeight w:val="216"/>
        </w:trPr>
        <w:tc>
          <w:tcPr>
            <w:tcW w:w="9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7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(44,620)</w:t>
            </w:r>
          </w:p>
        </w:tc>
      </w:tr>
      <w:tr>
        <w:trPr>
          <w:trHeight w:val="21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7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38,462</w:t>
            </w: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March 31, 2025 and the year ended December 31, 2024. The carrying amount of accounts payable approximated fair value as they are short term in nature.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and Goodwill and Definite-lived intangible assets recognized as part of acquisitions, represent Level 3 measurements.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March 31, 2025 and December 31, 2024, and indicates the fair value hierarchy of the valuation inputs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40" w:type="dxa"/>
            <w:vAlign w:val="bottom"/>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$3,903,320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$3,903,320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$8,936,187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$3,883,853</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 Vidello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$3,019,246</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$21,991,721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$18,972,475</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GEM warrant liabilities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$1,684,000</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Agile term notes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$3,143,000</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$432,000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assets measured at the acquisition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Measured at period-end.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assumed Public Warrants in the Merger, exercisable into 230,000 shares of Common A Common Stock, which were outstanding as of March 31, 2025 and December 31, 2024. The fair values of the Public Warrants are measured based on the listed market price of such warrants through March 31, 2025. See </w:t>
      </w:r>
      <w:r>
        <w:rPr>
          <w:rFonts w:ascii="Times New Roman" w:cs="Times New Roman" w:eastAsia="Times New Roman" w:hAnsi="Times New Roman"/>
          <w:sz w:val="18"/>
          <w:szCs w:val="18"/>
          <w:i w:val="1"/>
          <w:iCs w:val="1"/>
          <w:color w:val="auto"/>
        </w:rPr>
        <w:t>Note 14 -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recognized a loss of approximately $2,300 resulting from changes in the fair value of the derivative warrant liabilities, presented as change in fair value of warrant liabilities - related party in the accompanying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Public Warrants liability which are Level 1 financial liabilities that are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4,600</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cs="Times New Roman" w:eastAsia="Times New Roman" w:hAnsi="Times New Roman"/>
          <w:sz w:val="18"/>
          <w:szCs w:val="18"/>
          <w:i w:val="1"/>
          <w:iCs w:val="1"/>
          <w:color w:val="auto"/>
        </w:rPr>
        <w:t>Note 14 -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 recognized a gain of approximately $4,000, resulting from changes in the fair value of the derivative warrant liabilities, presented as change in fair value of warrant liabilities in the accompanying condensed consolidated statements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GEM Warrants liability which are Level 3 financial liabilities that are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11,000</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(i.e., share price, term, volatility, risk-free rate, and probability of optional redemption). Refer to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recognized a loss of approximately $159,100 resulting from changes in the fair value of the Yorkville convertible notes, presented as change in fair value of convertible promissory notes in the accompanying condensed consolidated statements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Yorkville convertible notes which is a Level 3 financial liability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Yorkville convertible note</w:t>
            </w:r>
          </w:p>
        </w:tc>
        <w:tc>
          <w:tcPr>
            <w:tcW w:w="3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3,150,000</w:t>
            </w: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252,000</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(1,877,100)</w:t>
            </w: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159,100</w:t>
            </w:r>
          </w:p>
        </w:tc>
      </w:tr>
      <w:tr>
        <w:trPr>
          <w:trHeight w:val="20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1,684,000</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embedded put options, relating to the Convertible Note to CP BF issued on September 23,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The bifurcated embedded derivative net asset was $20,000 as of March 31, 2025. Refer to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xml:space="preserve"> for further details.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bifurcated embedded derivative asset for the three months ended March 31, 2025, relating to the Convertible Note to CP BF issued on September 23, 2024, which are Level 3 financial liabilities that are measured at fair value on a recurring basis: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CP BF Convertible</w:t>
            </w: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49"/>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July 22, 2024, September 13, 2024, December 12, 2024, and March 31, 2025 the Company entered into term loan promissory note agreements with Agile Lending, LLC, and Agile Capital Funding, LLC, as the collateral agent, as discussed further in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xml:space="preserve"> of the notes to the condensed consolidated financial statements.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March 31, 2025. The Company classified the Agile Term Notes as a Level 3 fair value measurement and used a discounted cash flow model to calculate the fair values as of March 31, 2025 and December 31, 2024, respectively. Key inputs for the valuation are summarized below. The discounted cash flow model uses inputs such as the contractual term of the note and a market participant interest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key inputs at issuance of the Agile term notes and for the period ended March 31, 2025 and December 31,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348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2024 Agile Note</w:t>
            </w:r>
          </w:p>
        </w:tc>
        <w:tc>
          <w:tcPr>
            <w:tcW w:w="100" w:type="dxa"/>
            <w:vAlign w:val="bottom"/>
          </w:tcPr>
          <w:p>
            <w:pPr>
              <w:spacing w:after="0"/>
              <w:rPr>
                <w:sz w:val="18"/>
                <w:szCs w:val="18"/>
                <w:color w:val="auto"/>
              </w:rPr>
            </w:pPr>
          </w:p>
        </w:tc>
        <w:tc>
          <w:tcPr>
            <w:tcW w:w="2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2025 Agile Note</w:t>
            </w: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6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0.31</w:t>
            </w: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0.56</w:t>
            </w:r>
          </w:p>
        </w:tc>
        <w:tc>
          <w:tcPr>
            <w:tcW w:w="20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for a summary of the changes in the fair value of the Agile term notes which are Level 3 financial liabilities measured at fair value on a recurring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August 16, 2024, September 24, 2024, December 10, 2024, and February 7, 2025 the Company entered into convertible promissory notes with 1800 Diagonal Lending, LLC, as discussed further in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xml:space="preserve"> of the notes to the condensed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March 31, 2025. The Company classified these notes as Level 3 financial liabilities and used the Black-Scholes option pricing model to calculate the fair values as of February 7, 2025, March 31, 2025 and December 10, 2024. Key inputs for the simulation are summarized below. The Black-Scholes simulation uses inputs such as the stock price, volatility, the contractual term of the note, risk free interest rates and dividend yields.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key inputs for the Black-Scholes simulations at issuance of the 1800 Diagonal convertible notes and for the period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August 1800 Diagonal Note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September 1800 Diagonal Note</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 1800 Diagonal Note</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February 1800 Diagonal Note</w:t>
            </w:r>
          </w:p>
        </w:tc>
      </w:tr>
      <w:tr>
        <w:trPr>
          <w:trHeight w:val="134"/>
        </w:trPr>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184"/>
              <w:spacing w:after="0" w:line="134"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11"/>
                <w:szCs w:val="11"/>
                <w:color w:val="auto"/>
              </w:rPr>
            </w:pPr>
          </w:p>
        </w:tc>
        <w:tc>
          <w:tcPr>
            <w:tcW w:w="11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264"/>
              <w:spacing w:after="0" w:line="134"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1"/>
                <w:szCs w:val="11"/>
                <w:color w:val="auto"/>
              </w:rPr>
            </w:pPr>
          </w:p>
        </w:tc>
        <w:tc>
          <w:tcPr>
            <w:tcW w:w="1200" w:type="dxa"/>
            <w:vAlign w:val="bottom"/>
            <w:gridSpan w:val="2"/>
          </w:tcPr>
          <w:p>
            <w:pPr>
              <w:jc w:val="right"/>
              <w:ind w:right="184"/>
              <w:spacing w:after="0" w:line="13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24"/>
              <w:spacing w:after="0" w:line="134" w:lineRule="exact"/>
              <w:rPr>
                <w:sz w:val="20"/>
                <w:szCs w:val="20"/>
                <w:color w:val="auto"/>
              </w:rPr>
            </w:pPr>
            <w:r>
              <w:rPr>
                <w:rFonts w:ascii="Times New Roman" w:cs="Times New Roman" w:eastAsia="Times New Roman" w:hAnsi="Times New Roman"/>
                <w:sz w:val="15"/>
                <w:szCs w:val="15"/>
                <w:b w:val="1"/>
                <w:bCs w:val="1"/>
                <w:color w:val="auto"/>
                <w:w w:val="98"/>
              </w:rPr>
              <w:t>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224"/>
              <w:spacing w:after="0" w:line="134"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11"/>
                <w:szCs w:val="11"/>
                <w:color w:val="auto"/>
              </w:rPr>
            </w:pPr>
          </w:p>
        </w:tc>
        <w:tc>
          <w:tcPr>
            <w:tcW w:w="1080" w:type="dxa"/>
            <w:vAlign w:val="bottom"/>
            <w:gridSpan w:val="2"/>
          </w:tcPr>
          <w:p>
            <w:pPr>
              <w:jc w:val="right"/>
              <w:ind w:right="184"/>
              <w:spacing w:after="0" w:line="134" w:lineRule="exact"/>
              <w:rPr>
                <w:sz w:val="20"/>
                <w:szCs w:val="20"/>
                <w:color w:val="auto"/>
              </w:rPr>
            </w:pPr>
            <w:r>
              <w:rPr>
                <w:rFonts w:ascii="Times New Roman" w:cs="Times New Roman" w:eastAsia="Times New Roman" w:hAnsi="Times New Roman"/>
                <w:sz w:val="15"/>
                <w:szCs w:val="15"/>
                <w:b w:val="1"/>
                <w:bCs w:val="1"/>
                <w:color w:val="auto"/>
              </w:rPr>
              <w:t>February 7,</w:t>
            </w:r>
          </w:p>
        </w:tc>
      </w:tr>
      <w:tr>
        <w:trPr>
          <w:trHeight w:val="183"/>
        </w:trPr>
        <w:tc>
          <w:tcPr>
            <w:tcW w:w="1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Key Inputs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56"/>
        </w:trPr>
        <w:tc>
          <w:tcPr>
            <w:tcW w:w="1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Stock price</w:t>
            </w:r>
          </w:p>
        </w:tc>
        <w:tc>
          <w:tcPr>
            <w:tcW w:w="2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1.12</w:t>
            </w:r>
          </w:p>
        </w:tc>
        <w:tc>
          <w:tcPr>
            <w:tcW w:w="300" w:type="dxa"/>
            <w:vAlign w:val="bottom"/>
            <w:gridSpan w:val="2"/>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1.53</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1.12</w:t>
            </w:r>
          </w:p>
        </w:tc>
        <w:tc>
          <w:tcPr>
            <w:tcW w:w="340" w:type="dxa"/>
            <w:vAlign w:val="bottom"/>
            <w:gridSpan w:val="2"/>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1.53</w:t>
            </w:r>
          </w:p>
        </w:tc>
        <w:tc>
          <w:tcPr>
            <w:tcW w:w="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1.12</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1.53</w:t>
            </w:r>
          </w:p>
        </w:tc>
        <w:tc>
          <w:tcPr>
            <w:tcW w:w="1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1.12</w:t>
            </w:r>
          </w:p>
        </w:tc>
        <w:tc>
          <w:tcPr>
            <w:tcW w:w="300" w:type="dxa"/>
            <w:vAlign w:val="bottom"/>
            <w:gridSpan w:val="2"/>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1.51</w:t>
            </w:r>
          </w:p>
        </w:tc>
      </w:tr>
      <w:tr>
        <w:trPr>
          <w:trHeight w:val="145"/>
        </w:trPr>
        <w:tc>
          <w:tcPr>
            <w:tcW w:w="14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Contractual term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9"/>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0.59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0.86</w:t>
            </w:r>
          </w:p>
        </w:tc>
      </w:tr>
      <w:tr>
        <w:trPr>
          <w:trHeight w:val="162"/>
        </w:trPr>
        <w:tc>
          <w:tcPr>
            <w:tcW w:w="1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Risk-free rate</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4.19%</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4.22%</w:t>
            </w:r>
          </w:p>
        </w:tc>
      </w:tr>
      <w:tr>
        <w:trPr>
          <w:trHeight w:val="162"/>
        </w:trPr>
        <w:tc>
          <w:tcPr>
            <w:tcW w:w="144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Volatility</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w:t>
            </w:r>
          </w:p>
        </w:tc>
      </w:tr>
      <w:tr>
        <w:trPr>
          <w:trHeight w:val="162"/>
        </w:trPr>
        <w:tc>
          <w:tcPr>
            <w:tcW w:w="1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Maturity probability</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r>
      <w:tr>
        <w:trPr>
          <w:trHeight w:val="162"/>
        </w:trPr>
        <w:tc>
          <w:tcPr>
            <w:tcW w:w="1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Default probability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r>
      <w:tr>
        <w:trPr>
          <w:trHeight w:val="162"/>
        </w:trPr>
        <w:tc>
          <w:tcPr>
            <w:tcW w:w="1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Dividend yield</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ind w:left="200" w:hanging="192"/>
        <w:spacing w:after="0"/>
        <w:tabs>
          <w:tab w:leader="none" w:pos="20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utilized historical equity volatility in measurement of the fair value of the notes.</w:t>
      </w:r>
    </w:p>
    <w:p>
      <w:pPr>
        <w:spacing w:after="0" w:line="19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for a summary of the changes in the fair value of the 1800 Diagonal convertible notes which are Level 3 financial liabilities measured at fair value on a recurring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including Definite-Lived Intangibles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inputs used in our level 3 fair value measurement of business combinations, including definite-lived intangibles at the acquisition date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18"/>
          <w:szCs w:val="18"/>
          <w:i w:val="1"/>
          <w:iCs w:val="1"/>
          <w:color w:val="auto"/>
        </w:rPr>
        <w:t>- Acquisition of Vidello</w:t>
      </w:r>
      <w:r>
        <w:rPr>
          <w:rFonts w:ascii="Times New Roman" w:cs="Times New Roman" w:eastAsia="Times New Roman" w:hAnsi="Times New Roman"/>
          <w:sz w:val="18"/>
          <w:szCs w:val="18"/>
          <w:color w:val="auto"/>
        </w:rPr>
        <w:t>)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2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38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3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Combination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Various *</w:t>
            </w: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Growth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Internal rate of return</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Distributor method</w:t>
            </w: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 growth attributable to existing customers</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Existing customer attrition</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Distributor EBITA margin</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Contributory asset charges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0.6% - 1.6%</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8"/>
        </w:trPr>
        <w:tc>
          <w:tcPr>
            <w:tcW w:w="4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Trade name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Relief-from-royalty</w:t>
            </w:r>
          </w:p>
        </w:tc>
        <w:tc>
          <w:tcPr>
            <w:tcW w:w="38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34"/>
        </w:trPr>
        <w:tc>
          <w:tcPr>
            <w:tcW w:w="4080" w:type="dxa"/>
            <w:vAlign w:val="bottom"/>
            <w:shd w:val="clear" w:color="auto" w:fill="CFF0FC"/>
          </w:tcPr>
          <w:p>
            <w:pPr>
              <w:spacing w:after="0"/>
              <w:rPr>
                <w:sz w:val="20"/>
                <w:szCs w:val="20"/>
                <w:color w:val="auto"/>
              </w:rPr>
            </w:pPr>
          </w:p>
        </w:tc>
        <w:tc>
          <w:tcPr>
            <w:tcW w:w="2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method</w:t>
            </w: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Royalty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Contributory asset charges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8"/>
        </w:trPr>
        <w:tc>
          <w:tcPr>
            <w:tcW w:w="4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Technology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Multi-period excess</w:t>
            </w:r>
          </w:p>
        </w:tc>
        <w:tc>
          <w:tcPr>
            <w:tcW w:w="38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34"/>
        </w:trPr>
        <w:tc>
          <w:tcPr>
            <w:tcW w:w="4080" w:type="dxa"/>
            <w:vAlign w:val="bottom"/>
            <w:shd w:val="clear" w:color="auto" w:fill="CFF0FC"/>
          </w:tcPr>
          <w:p>
            <w:pPr>
              <w:spacing w:after="0"/>
              <w:rPr>
                <w:sz w:val="20"/>
                <w:szCs w:val="20"/>
                <w:color w:val="auto"/>
              </w:rPr>
            </w:pPr>
          </w:p>
        </w:tc>
        <w:tc>
          <w:tcPr>
            <w:tcW w:w="2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 method</w:t>
            </w: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R&amp;D expense for new developed technology</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Developed technology obsolescence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Contributory asset charges rate</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-1.4% - 2.3%</w:t>
            </w:r>
          </w:p>
        </w:tc>
      </w:tr>
      <w:tr>
        <w:trPr>
          <w:trHeight w:val="216"/>
        </w:trPr>
        <w:tc>
          <w:tcPr>
            <w:tcW w:w="40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26.3%</w:t>
            </w:r>
          </w:p>
        </w:tc>
      </w:tr>
    </w:tbl>
    <w:p>
      <w:pPr>
        <w:spacing w:after="0" w:line="196"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all of the valuation techniques for each of the fair valued assets above as of the acquisition date (</w:t>
      </w:r>
      <w:r>
        <w:rPr>
          <w:rFonts w:ascii="Times New Roman" w:cs="Times New Roman" w:eastAsia="Times New Roman" w:hAnsi="Times New Roman"/>
          <w:sz w:val="18"/>
          <w:szCs w:val="18"/>
          <w:i w:val="1"/>
          <w:iCs w:val="1"/>
          <w:color w:val="auto"/>
        </w:rPr>
        <w:t>Note 4 - Acquisition of Vidello</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the dates indicated: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42,862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34,474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(30,935)</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10,889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3,539</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$1,038 and $1,564 respectively.</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Prepaid Expenses and Other Current Assets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insurance costs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408,585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130,345</w:t>
            </w:r>
          </w:p>
        </w:tc>
      </w:tr>
      <w:tr>
        <w:trPr>
          <w:trHeight w:val="216"/>
        </w:trPr>
        <w:tc>
          <w:tcPr>
            <w:tcW w:w="7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 trade</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208,219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239,041</w:t>
            </w:r>
          </w:p>
        </w:tc>
      </w:tr>
      <w:tr>
        <w:trPr>
          <w:trHeight w:val="216"/>
        </w:trPr>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consulting costs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76,767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76,767</w:t>
            </w:r>
          </w:p>
        </w:tc>
      </w:tr>
      <w:tr>
        <w:trPr>
          <w:trHeight w:val="216"/>
        </w:trPr>
        <w:tc>
          <w:tcPr>
            <w:tcW w:w="7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software costs</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52,536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59,855</w:t>
            </w:r>
          </w:p>
        </w:tc>
      </w:tr>
      <w:tr>
        <w:trPr>
          <w:trHeight w:val="216"/>
        </w:trPr>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commissions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38,546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31,504</w:t>
            </w:r>
          </w:p>
        </w:tc>
      </w:tr>
      <w:tr>
        <w:trPr>
          <w:trHeight w:val="216"/>
        </w:trPr>
        <w:tc>
          <w:tcPr>
            <w:tcW w:w="7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merchant fees</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30,898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26,690</w:t>
            </w:r>
          </w:p>
        </w:tc>
      </w:tr>
      <w:tr>
        <w:trPr>
          <w:trHeight w:val="216"/>
        </w:trPr>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advertising and marketing costs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29,133</w:t>
            </w:r>
          </w:p>
        </w:tc>
      </w:tr>
      <w:tr>
        <w:trPr>
          <w:trHeight w:val="216"/>
        </w:trPr>
        <w:tc>
          <w:tcPr>
            <w:tcW w:w="7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data license and subscription costs</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3,125</w:t>
            </w:r>
          </w:p>
        </w:tc>
      </w:tr>
      <w:tr>
        <w:trPr>
          <w:trHeight w:val="216"/>
        </w:trPr>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15,843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47,214</w:t>
            </w: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831,394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643,674</w:t>
            </w: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602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Operating Co.</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 December 31, 2024</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2,171,526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16,800,949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18,972,475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3,019,246</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3,019,246</w:t>
            </w:r>
          </w:p>
        </w:tc>
      </w:tr>
      <w:tr>
        <w:trPr>
          <w:trHeight w:val="216"/>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Goodwill - March 31, 2025</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16,800,949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21,991,721</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-170815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identify our reporting units in accordance with the FASB ASC Subtopic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carrying value and fair value for intangible assets and goodwill for a reporting unit are calculated based on key assumptions and valuation methodologies. The discounted cash flow methodology is a widely accepted valuation technique utilized by market participants in the transaction evaluation process and has been applied consistently. We also consider our market capitalization, as compared to the aggregate fair values of our reporting units, to assess the reasonableness of our estimates pursuant to the discounted cash flow methodology. Management further supports its conclusions by assessing a combination of an income valuation methodology, comprising a discounted cash flow analysis and market valuation methodologies, comprising the guideline public company and guideline transaction methods. The estimates and assumptions made in assessing the fair value of our reporting units and the valuation of the underlying assets and liabilities are inherently subject to significant uncertainties related to future sales, gross margins, and advertising and marketing expenses, which can be impacted by increases in competition, changing consumer preferences, technology development expenses, technical advances, and inflation. The discount rate assumption may be influenced by such factors as changes in interest rates and rates of inflation, which can have an impact on the determination of fair value. If these assumptions are adversely affected, we may be required to record additional impairment charges in the future.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2025, as the Company has three operating segments which were deemed to be its reporting units, goodwill is allocated to each reporting unit and the carrying value of each reporting unit is determined based on the present value of the reporting unit's specific discounted cash flows for purposes of evaluating goodwill impairment. As of December 31, 2024, the date of the last goodwill impairment analysis, the Banzai Operating Co. reporting unit had a negative carrying value, and no impairment to goodwill was identified as of December 31, 2024. As of December 31, 2024, the OpenReel reporting unit had a carrying value that exceeded the fair value of the reporting unit. As such an impairment to goodwill $2.7 million was identified as of December 31,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2"/>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2,337,383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2,419,829</w:t>
            </w:r>
          </w:p>
        </w:tc>
      </w:tr>
      <w:tr>
        <w:trPr>
          <w:trHeight w:val="216"/>
        </w:trPr>
        <w:tc>
          <w:tcPr>
            <w:tcW w:w="7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tax payable</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426,925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tax payable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513,531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452,508</w:t>
            </w:r>
          </w:p>
        </w:tc>
      </w:tr>
      <w:tr>
        <w:trPr>
          <w:trHeight w:val="216"/>
        </w:trPr>
        <w:tc>
          <w:tcPr>
            <w:tcW w:w="7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legal costs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154,150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315,764</w:t>
            </w: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payable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r>
      <w:tr>
        <w:trPr>
          <w:trHeight w:val="216"/>
        </w:trPr>
        <w:tc>
          <w:tcPr>
            <w:tcW w:w="7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146,693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207,970</w:t>
            </w: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56,833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51,308</w:t>
            </w:r>
          </w:p>
        </w:tc>
      </w:tr>
      <w:tr>
        <w:trPr>
          <w:trHeight w:val="216"/>
        </w:trPr>
        <w:tc>
          <w:tcPr>
            <w:tcW w:w="7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50,638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46,759</w:t>
            </w: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121,095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173,163</w:t>
            </w:r>
          </w:p>
        </w:tc>
      </w:tr>
      <w:tr>
        <w:trPr>
          <w:trHeight w:val="22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4,030,965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3,891,018</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Deferred Revenue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condensed consolidated statement of operations, reflect amounts not recognized through the deferred revenue process, and which have been determined to be insignificant. For the three months ended March 31, 2025 and the year ended December 31, 2024, the Company recognized $1,671,897 and $1,214,096 in revenue that was included in the prior year deferred revenue balance,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0"/>
        </w:trPr>
        <w:tc>
          <w:tcPr>
            <w:tcW w:w="6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3,934,627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1,214,096</w:t>
            </w:r>
          </w:p>
        </w:tc>
      </w:tr>
      <w:tr>
        <w:trPr>
          <w:trHeight w:val="21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Billings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2,721,698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4,362,730</w:t>
            </w:r>
          </w:p>
        </w:tc>
      </w:tr>
      <w:tr>
        <w:trPr>
          <w:trHeight w:val="216"/>
        </w:trPr>
        <w:tc>
          <w:tcPr>
            <w:tcW w:w="6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(1,671,897)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(1,214,096)</w:t>
            </w:r>
          </w:p>
        </w:tc>
      </w:tr>
      <w:tr>
        <w:trPr>
          <w:trHeight w:val="21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(3,091,333)</w:t>
            </w:r>
          </w:p>
        </w:tc>
      </w:tr>
      <w:tr>
        <w:trPr>
          <w:trHeight w:val="216"/>
        </w:trPr>
        <w:tc>
          <w:tcPr>
            <w:tcW w:w="6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OpenReel deferred revenue - short-term - previously recognized at acquisition</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2,663,230</w:t>
            </w:r>
          </w:p>
        </w:tc>
      </w:tr>
      <w:tr>
        <w:trPr>
          <w:trHeight w:val="21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Vidello deferred revenue - short-term</w:t>
            </w: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447,966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short-term, end of period</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4,419,195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3,934,627</w:t>
            </w:r>
          </w:p>
        </w:tc>
      </w:tr>
      <w:tr>
        <w:trPr>
          <w:trHeight w:val="21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OpenReel deferred revenue - long-term</w:t>
            </w: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111,161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short-term and long-term, end of period</w:t>
            </w:r>
          </w:p>
        </w:tc>
        <w:tc>
          <w:tcPr>
            <w:tcW w:w="7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4,530,356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3,934,627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jc w:val="both"/>
        <w:ind w:firstLine="8"/>
        <w:spacing w:after="0" w:line="255"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has issued an aggregate of 190,001 shares of Class A Common Stock to GEM in lieu of monthly payment obligations and during the three months ending March 31, 2025, the Company paid an aggregate of $215,057 to satisfy the remaining balance of the GEM Promissory Note.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(Yorkville)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16 - Equity</w:t>
      </w:r>
      <w:r>
        <w:rPr>
          <w:rFonts w:ascii="Times New Roman" w:cs="Times New Roman" w:eastAsia="Times New Roman" w:hAnsi="Times New Roman"/>
          <w:sz w:val="18"/>
          <w:szCs w:val="18"/>
          <w:color w:val="auto"/>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 from Yorkville.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Promissory Notes for a period commencing on the date of the closing of the offering and ending on the date that is 90 days thereafter. Under the Original Debt Repayment Agreement, the Company and Yorkville also agreed to extend the maturity date of the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Debt Repayment Agreement was conditioned on the completion of the offering by June 2, 2024.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Promissory Notes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after a period of 60 days following the closing of the offering. Under the Amended Debt Repayment Agreement, the Company and Yorkville also agreed to extend the maturity date of the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$750,000 on May 31, 2024 (the “Repayment Date”), and issued an Advance Notice for the purchase of 12,000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March 31, 2025, no events of default have occurred.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January 2024, the Company’s stock price per share fell below the then in effect Floor Price (as defined in the Standby Equity Purchase Agreement disclosure in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of $2.00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$0.294 per share of Common Stock, thus curing the Amortization Event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$2,000,000 of the full outstanding principal under the December Yorkville Convertible Note, respectively, was converted into 275,383 shares of Class A Common stock of the Company. During the year ended December 31, 2024, the full principal amount of $1,000,000 under the February Yorkville Promissory Note was converted into 28,910 Class A Common stock of the Company. During the year ended December 31, 2024, the full outstanding principal amount of $750,000 under the March Yorkville Promissory Note was converted into 149,863, Class A Common stock of the Company.</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On January 30, 2025 (the “Issuance Date”), in connection with and pursuant to the terms of the SEPA (refer to </w:t>
      </w:r>
      <w:r>
        <w:rPr>
          <w:rFonts w:ascii="Times New Roman" w:cs="Times New Roman" w:eastAsia="Times New Roman" w:hAnsi="Times New Roman"/>
          <w:sz w:val="18"/>
          <w:szCs w:val="18"/>
          <w:i w:val="1"/>
          <w:iCs w:val="1"/>
          <w:color w:val="auto"/>
        </w:rPr>
        <w:t>Note 16 – Equity</w:t>
      </w:r>
      <w:r>
        <w:rPr>
          <w:rFonts w:ascii="Times New Roman" w:cs="Times New Roman" w:eastAsia="Times New Roman" w:hAnsi="Times New Roman"/>
          <w:sz w:val="18"/>
          <w:szCs w:val="18"/>
          <w:color w:val="auto"/>
        </w:rPr>
        <w:t xml:space="preserve"> for further details), Yorkville agreed to advance to the Company $3,150,000 in cash, in exchange for a Convertible Promissory Note (the</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“Yorkville Note”) with a total principal amount of $3,500,000. The Company received net proceeds of $3,140,000 after an original issue discount of $350,000, and $10,000 debt issuance costs paid to Yorkville.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Yorkville Note has a maturity date of July 31, 2025, but may be extended at Yorkville's option. Beginning on February 28, 2025 and continuing on March 31, 2025 and April 30, 2025, (each, an “Installment Date”), the Company shall repay a portion of the outstanding balance of this Note in an amount equal to the sum of (i) $1,500,000 of Principal in respect to the first two Installment Dates, and $500,000 in respect of the third Installment Date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Note bears an interest rate of 0% for the first 90 days following the Issuance Date, and 6% thereafter (the “Interest Rate”). The Interest Rate shall increase to an annual rate of 18% upon the occurrence of an Event of Default (as defined by the Note). The Note is convertible into shares of the Company’s Class A common stock, par value $0.0001 per share (the “Class A Common Stock”), at a conversion price of $2.00 per share (the “Conversion Price”). Yorkville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(as defined in the note agreement) of the Class A Common Stock is less than the Conversion Price.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the Yorkville Note was eligible for the fair value option election in accordance with ASC 825-10-50-28, and made such election to account for the Yorkville Note at fair value. The Company estimated the fair value of the Yorkville Note at issuance of $3,402,000 using a Monte Carlo simulation, using the following key inputs: principal on the Yorkville Note of $3,500,000; remaining term of 0.50 years; the fair value of the Company’s Class A common stock on the valuation date of $2.24 per share; a market interest rate of 8.7%; a risk-free rate of 4.27%; equity volatility of 224.0%; and the Payment Premium of 4%. Upon issuance, the Company recognized a loss of $252,000 representing the difference between issuance date fair value and the proceeds received net of the original issue discount of $3,150,000, which is included in loss on debt issuance on the accompanying condensed consolidated statement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made principal payments totaling approximately $1,805,000 during the three months ended March 31, 2025 via Advance Repayments and incurred approximately $72,000 in Payment Premiums, which were expensed as incurred, in fulfillment of its obligation to repay $1,500,000 in principal by February 28, 2025. The shortfall in repayment of the additional $1,500,000 principal due on March 31, 2025 was waived by Yorkville and was not considered an Event of Default; the Company repaid the remaining outstanding principal of approximately $1,695,000 via Advance Repayments during April and May of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a loss of approximately $159,000 on the change in fair value of the Yorkville Note. The Company estimated the fair value of the Yorkville Note at March 31, 2025 of $1,684,000 using a Monte Carlo simulation, using the following key inputs: outstanding principal on the Yorkville Note of approximately $1,695,000; remaining term of 0.33 years; the fair value of the Company’s Class A common stock on the valuation date of $1.12 per share; a market interest rate of 11.3%; a risk-free rate of 4.29%; equity volatility of 171.0%; and the Payment Premium of 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a loss of $544,000 related to the change in fair value of the Yorkville Convertible Notes liability. The Company used a Monte Carlo simulation model in order to determine the Yorkville Convertible Note’s fair value at March 31, 2024, with the following inputs: the fair value of the Company's common stock of $0.61 on March 31, 2024, estimated equity volatility of 106%, the time to maturity of 0.21 years, a discounted market interest rate of 16.5%, a risk free rate of 5.46%, and probability of optional redemption 75.0%.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 related party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and Convertible Notes - related party (CP BF)</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 per unit. If not sooner converted or prepaid, the Convertible Note principal together with accrued and unpaid interest thereon, unpaid fees and expenses and any other Obligations then due, shall be paid on the Loan Maturity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interest rate for the Term Note was 16% for the three months ended March 31, 2024. For the three months ended March 31, 2024, interest expense on the Term Note totaled $292,327, comprised of $266,348 of contractual interest and $25,979 for the amortization of the discount. The effective interest rate for the CP BF Convertible Note and First Amendment Convertible Note was 16% for the three months ended March 31, 2024. For the three months ended March 31, 2024, interest expense on the Convertible Notes totaled $116,411, comprised of $108,596 of contractual interest and $7,815 for the amortization of the discount.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 (CP BF restructuring)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70,000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 Upon the occurrence, and during the continuance, of an Event of Default (as defined in the agreement), interest on the 2024 CP BF Convertible Note will bear PIK interest at a per annum rate of 20% (“2024 Default Rate”).</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Subsequent changes in fair value of the feature will be recognized as a gain or loss in the Consolidated Statement of Operations. The fair value of the bifurcated derivative asset was estimated utilizing the with and without method which uses the probability weighted difference between the scenarios with the derivative and the plain vanilla maturity scenario without a derivative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w:t>
      </w:r>
      <w:r>
        <w:rPr>
          <w:rFonts w:ascii="Times New Roman" w:cs="Times New Roman" w:eastAsia="Times New Roman" w:hAnsi="Times New Roman"/>
          <w:sz w:val="18"/>
          <w:szCs w:val="18"/>
          <w:color w:val="auto"/>
        </w:rPr>
        <w:t>). As of March 31, 2025, the fair value of the bifurcated derivatives was $20,000. The Company recorded a loss related to the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fair value of the bifurcated derivatives of $43,000 for the three months ended March 31,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55,600 Class A Common Stock at the fixed conversion price per share of $3.89 in satisfaction of $216,284 of the Company's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260,849 shares of Class A Common Stock, CP BF Warrants to purchase up to 565,553 shares of Class A Common Stock and CP BF Pre-Funded Warrants to purchase up to 304,704 shares of Class A Common Stock (all such securities and shares collectively referred to as the “CP BF Registrable Securities”). The CP BF Warrant can be exercised at an initial exercise price of $3.89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Joe Davy, agreed not to sell an aggregate of 2,311,143 shares of Class B Common Stock that he owns until such time as CP BF no longer owns any of the CP BF Registrable Securities.</w:t>
      </w: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in an aggregate amount upon the sale of the Company's capital stock equal to 20% of the cash proceeds in excess of $3,000,000. For the three months ended March 31, 2025, the Company paid a total of $870,190 of which satisfied outstanding principal under the 2024 CP BF Convertible Note.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for the three months ended March 31, 2025. For the three months ended March 31, 2025, interest expense on the 2024 CP BF Convertible Note totaled $335,390 consisting of $336,275 of contractual interest offset by $885 of amortization of the debt premium.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March 31, 2025:</w:t>
            </w: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1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8,758,775</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14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10,181</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8,768,956</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705,734</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(1,153,505)</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4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(216,284)</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1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8,104,901</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December 31, 2024:</w:t>
            </w:r>
          </w:p>
        </w:tc>
        <w:tc>
          <w:tcPr>
            <w:tcW w:w="1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19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8,758,775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1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11,066</w:t>
            </w: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1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8,769,841</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369,459</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1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(283,315)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(216,284)</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19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8,639,701</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carried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Notes (Agile)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calculated on a three hundred and sixty (360) day year based on the actual number of days lapsed, and interest shall accrue on the loan commencing on and including the effective date pursuant to the Agreement's weekly repayment and amortization schedule.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 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balances of the December Agile Note, with a maturity date on the March Agile Note of November 12, 2025. The March Agile Note bears interest at a rate of 44%, and interest will be calculated on a three hundred and sixty</w:t>
      </w:r>
    </w:p>
    <w:p>
      <w:pPr>
        <w:spacing w:after="0" w:line="3" w:lineRule="exact"/>
        <w:rPr>
          <w:sz w:val="20"/>
          <w:szCs w:val="20"/>
          <w:color w:val="auto"/>
        </w:rPr>
      </w:pPr>
    </w:p>
    <w:p>
      <w:pPr>
        <w:ind w:firstLine="8"/>
        <w:spacing w:after="0" w:line="260" w:lineRule="auto"/>
        <w:tabs>
          <w:tab w:leader="none" w:pos="4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year based on the actual number of days lapsed, and interest shall accrue on the March Agile Note commencing on and including the effective date pursuant to the March Agile Note Agreement’s weekly repayment and amortization schedule.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are together referred to as the “Agile Notes”.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Agile Notes include contingent redemption (put) rights which trigger mandatory prepayment and a make-whole premium upon certain events including an event of default, and defaulted contingent interest upon an event of default.</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Due to the contingent redemption put feature and default interest embedded feature within the Agile Notes, the Company elected to account for the Agile Notes at fair value at their respective dates of issuance and in subsequent reporting periods, pursuant to ASC 825</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825”). The Company will record changes in the fair value of the notes that relate to changes in credit risk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Agile Notes totaled $450,426 for the three months ending March 31, 2025 and is included in the fair value of the 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the Agile Notes as of March 31, 2025:</w:t>
            </w: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32"/>
        </w:trPr>
        <w:tc>
          <w:tcPr>
            <w:tcW w:w="6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3,143,000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2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restructuring</w:t>
            </w:r>
          </w:p>
        </w:tc>
        <w:tc>
          <w:tcPr>
            <w:tcW w:w="22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1,769,895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2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(3,540,800)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165,905</w:t>
            </w:r>
          </w:p>
        </w:tc>
      </w:tr>
      <w:tr>
        <w:trPr>
          <w:trHeight w:val="20"/>
        </w:trPr>
        <w:tc>
          <w:tcPr>
            <w:tcW w:w="60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5,538,000</w:t>
            </w:r>
          </w:p>
        </w:tc>
      </w:tr>
      <w:tr>
        <w:trPr>
          <w:trHeight w:val="20"/>
        </w:trPr>
        <w:tc>
          <w:tcPr>
            <w:tcW w:w="6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as of March 31, 2025</w:t>
            </w:r>
          </w:p>
        </w:tc>
        <w:tc>
          <w:tcPr>
            <w:tcW w:w="22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4,000,000</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March 31, 2025</w:t>
            </w:r>
          </w:p>
        </w:tc>
        <w:tc>
          <w:tcPr>
            <w:tcW w:w="2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(1800 Diagonal)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$152,000 of proceeds, net of an original issue discount of $24,000 and issuance costs of $8,000 for due diligence and legal fees,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$100,000 of proceeds, net of an original discount of $16,200 and issuance costs of $8,000 for due diligence and legal fees,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$124,200 and received $100,000 of proceeds, net of an original discount of $16,200 and issuance costs of $8,000 for due diligence and legal fees, with a maturity date of October 15, 2025. The stated interest rate on the December Note is 12% per annum, and interest shall accrue on the December Note commencing on and including the issuance date pursuant to the December Note Agreement's repayment and amortization schedule.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and interest shall accrue on the February Note commencing on and including the issuance date pursuant to the February Note Agreement's repayment and amortization schedule.</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August 1800 Diagonal Note, the September 1800 Diagonal Note, the December 1800 Diagonal Note, and the February 1800 Diagonal Note are together referred to as the “1800 Diagonal Notes”.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1800 Diagonal Notes include optional conversion rights to the holder upon an event of default, contingent redemption (put) rights which trigger mandatory prepayment upon event of default, and defaulted contingent interest upon an event of default.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these embedded features within the 1800 Diagonal Notes, the Company elected to account for the 1800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the 1800 Diagonal Notes totaled approximately $36,935 for the three months ending March 31, 2025 and is included in the fair value of the notes.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as of March 31, 2025:</w:t>
            </w:r>
          </w:p>
        </w:tc>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7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432,000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1800 Diagonal convertible notes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124,200</w:t>
            </w: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21,800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(145,286)</w:t>
            </w: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(21,714)</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411,000</w:t>
            </w:r>
          </w:p>
        </w:tc>
      </w:tr>
      <w:tr>
        <w:trPr>
          <w:trHeight w:val="20"/>
        </w:trPr>
        <w:tc>
          <w:tcPr>
            <w:tcW w:w="7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as of March 31, 2025</w:t>
            </w:r>
          </w:p>
        </w:tc>
        <w:tc>
          <w:tcPr>
            <w:tcW w:w="2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370,886</w:t>
            </w: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March 31, 2025</w:t>
            </w: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Warrant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230,000 shares of Common Stock of the Company, and which remained outstanding as of March 31, 2025. The Public Warrants have an exercise price of $575.00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As the Resale Registration Statement was declared effective within the contractual 60-day term upon closing of the Merger, no "cashless basis" exercises were triggered during the period ended March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$900.00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9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$0.50 per Warrant;</w:t>
      </w:r>
    </w:p>
    <w:p>
      <w:pPr>
        <w:spacing w:after="0" w:line="117" w:lineRule="exact"/>
        <w:rPr>
          <w:rFonts w:ascii="Times New Roman" w:cs="Times New Roman" w:eastAsia="Times New Roman" w:hAnsi="Times New Roman"/>
          <w:sz w:val="18"/>
          <w:szCs w:val="18"/>
          <w:color w:val="auto"/>
        </w:rPr>
      </w:pPr>
    </w:p>
    <w:p>
      <w:pPr>
        <w:ind w:left="5540" w:right="2860" w:hanging="5023"/>
        <w:spacing w:after="0" w:line="282"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9" w:name="page30"/>
    <w:bookmarkEnd w:id="29"/>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$900.00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$900.00 redemption trigger price (as adjusted for adjustments to the number of shares issuable upon exercise or the exercise price of a Public Warrant as described under the heading “-Warrants—Public Stockholder Warrants—Anti-dilution Adjustments”) as well as the $575.00 (for whole shares) Public Warrant exercise price after the redemption notice is issued.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13 - 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16,571 shares at an exercise price of $324.50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$1.83. The effect of the change in strike price feature being triggered resulted in a change of value of approximately $15,000 which is recorded in the statement of operations line change in fair value of warrant liability.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As of March 31, 2025 and December 31, 2024, the fair value of the Warrants, as determined by the Monte Carlo simulation option pricing model, were $11,000 and $15,000, respectively.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real estate across multiple states. The operating leases have remaining lease terms of approximately 2.58 years as of March 31, 2025 and consist primarily of office space.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 agreements generally do not provide an implicit borrowing rate. Therefore, the Company used a benchmark approach to derive an appropriate incremental borrowing rate to discount remaining lease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existing leases contain escalation clauses and renewal options. The Company is not reasonably certain that renewal options will be exercised upon expiration of the initial terms of its existing leases.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a sublease which it has identified as an operating lease prior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31, 2025 and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7,332</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47,244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(52,542)</w:t>
            </w:r>
          </w:p>
        </w:tc>
      </w:tr>
      <w:tr>
        <w:trPr>
          <w:trHeight w:val="25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(income) cost</w:t>
            </w:r>
          </w:p>
        </w:tc>
        <w:tc>
          <w:tcPr>
            <w:tcW w:w="2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7,332</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413"/>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20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432"/>
        </w:trPr>
        <w:tc>
          <w:tcPr>
            <w:tcW w:w="5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2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5,669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43,705</w:t>
            </w:r>
          </w:p>
        </w:tc>
      </w:tr>
      <w:tr>
        <w:trPr>
          <w:trHeight w:val="216"/>
        </w:trPr>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2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(75,078)</w:t>
            </w: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66,896</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72,565</w:t>
            </w:r>
          </w:p>
        </w:tc>
      </w:tr>
      <w:tr>
        <w:trPr>
          <w:trHeight w:val="210"/>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23,485</w:t>
            </w:r>
          </w:p>
        </w:tc>
        <w:tc>
          <w:tcPr>
            <w:tcW w:w="10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22,731</w:t>
            </w: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49,974</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67,250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72,705</w:t>
            </w:r>
          </w:p>
        </w:tc>
      </w:tr>
      <w:tr>
        <w:trPr>
          <w:trHeight w:val="20"/>
        </w:trPr>
        <w:tc>
          <w:tcPr>
            <w:tcW w:w="5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r>
      <w:tr>
        <w:trPr>
          <w:trHeight w:val="41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2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(in years)</w:t>
            </w:r>
          </w:p>
        </w:tc>
        <w:tc>
          <w:tcPr>
            <w:tcW w:w="2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r>
      <w:tr>
        <w:trPr>
          <w:trHeight w:val="432"/>
        </w:trPr>
        <w:tc>
          <w:tcPr>
            <w:tcW w:w="5400" w:type="dxa"/>
            <w:vAlign w:val="bottom"/>
          </w:tcPr>
          <w:p>
            <w:pPr>
              <w:spacing w:after="0"/>
              <w:rPr>
                <w:sz w:val="24"/>
                <w:szCs w:val="24"/>
                <w:color w:val="auto"/>
              </w:rPr>
            </w:pPr>
          </w:p>
        </w:tc>
        <w:tc>
          <w:tcPr>
            <w:tcW w:w="20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-3479800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-3462655</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-1362075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432"/>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March 31, 2025, are as follows:</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9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21,487</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29,466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25,167</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92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76,120</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discounting</w:t>
            </w:r>
          </w:p>
        </w:tc>
        <w:tc>
          <w:tcPr>
            <w:tcW w:w="1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r>
      <w:tr>
        <w:trPr>
          <w:trHeight w:val="22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67,250</w:t>
            </w:r>
          </w:p>
        </w:tc>
      </w:tr>
      <w:tr>
        <w:trPr>
          <w:trHeight w:val="20"/>
        </w:trPr>
        <w:tc>
          <w:tcPr>
            <w:tcW w:w="73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Consulting Agreement with MZHCI,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2024, the Company entered into an Investor Relations Consulting Agreement (the “Consulting Agreement”) with MZHCI, LLC, a MZ Group Company (“MZHCI”), pursuant to which the Company agreed to issue 24,000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were issued as restricted stock with an appropriate restrictive legend.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Perkins Coie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“Perkins Repayment Agreement”) where the Company agreed to issue $1,385,000 worth of shares, which the Company shall register no fewer than 460,000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600,000 shares to Perkins to settle part of the outstanding liability balance. The remaining unpaid fee balance of $465,393 to be paid with the issuance of additional shares has not yet been made as of the date of filing of these condensed consolidated financial statements and is included in Accounts Payable on the condensed consolidated balance sheet.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Cooley LLP</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$1.1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both"/>
        <w:ind w:firstLine="58"/>
        <w:spacing w:after="0" w:line="282" w:lineRule="auto"/>
        <w:rPr>
          <w:sz w:val="20"/>
          <w:szCs w:val="20"/>
          <w:color w:val="auto"/>
        </w:rPr>
      </w:pPr>
      <w:r>
        <w:rPr>
          <w:rFonts w:ascii="Times New Roman" w:cs="Times New Roman" w:eastAsia="Times New Roman" w:hAnsi="Times New Roman"/>
          <w:sz w:val="18"/>
          <w:szCs w:val="18"/>
          <w:color w:val="auto"/>
        </w:rPr>
        <w:t>million, recognized within Gain on extinguishment of liabilities on the the condensed consolidated statement of operations, for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Letter with CohnReznick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The remaining unpaid balance of $637,400 is included in Accrued expenses and other current liabilities on the condensed consolidated balance sheet as of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the condensed consolidated statement of operations, for the three months ended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$186,830 is included in Accrued expenses and other current liabilities on the the condensed consolidated balance sheet as of March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March 31, 2025, the Company had issued 30,000 shares and made aggregate installment payments of $50,078, to Verista. The remaining unpaid balance of $93,050 is included in Accounts Payable on the the condensed consolidated balance sheet as of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16.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275,000,000 shares, consisting of 250,000,000 Class A Common Stock, and 25,000,000 shares of Class B Common Stock par value $0.0001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14,686,775 shares (12,375,641 Class A Common Stock and 2,311,134 Class B Common Stock) issued and outstanding at March 31, 2025 and 8,195,163 shares (5,884,029 Class A Common Stock and 2,311,134 Class B Common Stock) issued and outstanding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March 31, 2025 and 2024, one and no shares of preferred stock were outstanding,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48"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SEPA Option was determined to be a freestanding financial instrument which did not meet the criteria to be accounted for as a derivative instrument or to be recognized within equity.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will therefore recognize the SEPA Option as an asset or liability, measured at fair value at the date of issuance, December 14, 2023, and in subsequent reporting periods, with changes in fair value recognized in earnings.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14,201 Class A common stock as payment for the Deferred Fee.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requested the purchase of a total of 730,000 shares of the Company’s Class A common stock in connection with the Option 1 Advances, which Yorkville purchased for a total purchase price of approximately $1,046,000. The Company recognized a loss of approximately $52,000 on the sales, which represents the difference between the fair value of the shares issued and the proceeds received from the sales.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the Company requested the purchase of a total of 4,950,000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upon issuance of the Advance Notices for the Option 2 Advances, the Company recognized derivative liabilities totaling approximately $289,000 in the aggregate, the fair values of which represented the intrinsic value of the requested number of shares of Class A common stock on the Advance Notice dates. The Company recognized a loss of approximately $43,000 during the three months ended March 31, 2025 representing the change in fair value of the derivative liabilities during the period from the Advance Notice dates and the settlement dates of the Option 2 Advances. Upon settlement of the Option 2 Advances, the Company sold an aggregate of 4,315,142 shares of the Company’s Class A common stock to Yorkville for total proceeds of approximately $5,592,000, of which approximately $1,805,000 was applied against the outstanding principal on the Yorkville Note via Advance Repayments pursuant to the terms of the note agreement.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three months ended March 31, 2025, the Company settled one Advance Notice subject to the Option 2 Pricing Period issued on December 30, 2024, and accordingly sold 30,489 of the Company’s Class A common stock to Yorkville for proceeds of approximately $48,000.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Hudson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 2025, the Company issued 150,000 restricted shares of its Common Stock, with a determined fair value of $232,500, partially in exchange for the business advisory services outlined in the consulting agreement with Hudson Global Ventures, LLC, a Nevada limited liability company ("Hudson").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Verista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August 26, 2024, the Company issued 30,000 shares of its Common Stock, with a determined fair value of $49,800, in partial settlement of amounts owing to Verista. Refer to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RSU</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6, 2025, holders of 337,733 Restricted Stock Units (RSU's), previously granted during the 2024 financial year, exercised those RSU's in exchange for 337,733 shares of Class A Common Stock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Vidello Acquisition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disclosed above, on January 31, 2025, the Company closed a previously announced merger with Vidello. As part of the consideration paid to the Vidello Shareholders, the Company issued 898,204 shares of Class A Common Stock, with a determined fair value of $1,661,677.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Acquisition of Vidello </w:t>
      </w:r>
      <w:r>
        <w:rPr>
          <w:rFonts w:ascii="Times New Roman" w:cs="Times New Roman" w:eastAsia="Times New Roman" w:hAnsi="Times New Roman"/>
          <w:sz w:val="18"/>
          <w:szCs w:val="18"/>
          <w:color w:val="auto"/>
        </w:rPr>
        <w:t>for further detail.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adopted the 2023 Employee Stock Purchase Plan (the "Purchase Plan"). The Purchase Plan permits eligible employees of the Company and certain designated companies as determined by the Board of Directors, to purchase shares of the Company's Common Stock. The aggregate number of shares of common stock that may be purchased pursuant to the Purchase Plan is equal to 2% of the fully diluted common stock determined at the Close of the Merger Agreement, determined to be 11,444. In addition, the aggregate number of shares of common stock that remain available to be awarded under the Purchase Plan, will automatically increase on January 1 of each year for a period of 10 years commencing on January 1, 2024 and ending on January 1, 2033, in an amount equal to the lesser of one percent (1%) of the total number of shares of the fully diluted common stock determined as of December 31 of the preceding year, or a number of shares of common stock equal to two hundred percent (200%) of the initial share reserve of 11,444. As of March 31, 2025 and December 31, 2024, 260,389 and 11,558 shares of common stock remain available to be purchased under the Purchase Plan, respectively.</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adopted the 2023 Equity Incentive Plan (the “Plan”). The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determined to be 71,522. In addition, the aggregate number of shares of common stock that remain available to be awarded under the Plan, will automatically increase on January 1 of each year for a period of ten years commencing on January 1, 2024 and ending on January 1, 2033, in an amount equal to 5% of the total number of shares of the fully diluted common stock determined as of the day prior to such increase. As of March 31, 2025 and December 31, 2024, 6,957,478 and 2,323 stock options remain available to be awarded under the Plan, respectively.</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pursuant to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assumptions used to compute the fair value of options granted: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0"/>
                <w:szCs w:val="20"/>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$5.00-599.00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$5.00-599.00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110.95%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75.00 - 76.00%</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5.75 - 6.08</w:t>
            </w:r>
          </w:p>
        </w:tc>
        <w:tc>
          <w:tcPr>
            <w:tcW w:w="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43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is as follows: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5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38"/>
        </w:trPr>
        <w:tc>
          <w:tcPr>
            <w:tcW w:w="582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 w:type="dxa"/>
            <w:vAlign w:val="bottom"/>
          </w:tcPr>
          <w:p>
            <w:pPr>
              <w:spacing w:after="0"/>
              <w:rPr>
                <w:sz w:val="20"/>
                <w:szCs w:val="20"/>
                <w:color w:val="auto"/>
              </w:rPr>
            </w:pP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25,661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161.83</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25,661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162.50</w:t>
            </w:r>
          </w:p>
        </w:tc>
        <w:tc>
          <w:tcPr>
            <w:tcW w:w="120" w:type="dxa"/>
            <w:vAlign w:val="bottom"/>
          </w:tcPr>
          <w:p>
            <w:pPr>
              <w:spacing w:after="0"/>
              <w:rPr>
                <w:sz w:val="18"/>
                <w:szCs w:val="18"/>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161.83</w:t>
            </w: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-316865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-316865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-316865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issuances under the Plan, the Company recorded stock-based compensation expense related to stock options of $21,941 and $42,827, which is included in general and administrative expense for the three months ended March 31, 2025 and 2024, respectively. The weighted-average grant-date fair value per option granted during the three months ended March 31, 2025 and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both"/>
        <w:ind w:firstLine="45"/>
        <w:spacing w:after="0" w:line="266" w:lineRule="auto"/>
        <w:rPr>
          <w:sz w:val="20"/>
          <w:szCs w:val="20"/>
          <w:color w:val="auto"/>
        </w:rPr>
      </w:pPr>
      <w:r>
        <w:rPr>
          <w:rFonts w:ascii="Times New Roman" w:cs="Times New Roman" w:eastAsia="Times New Roman" w:hAnsi="Times New Roman"/>
          <w:sz w:val="18"/>
          <w:szCs w:val="18"/>
          <w:color w:val="auto"/>
        </w:rPr>
        <w:t>was $0 and $243.00, respectively. As of March 31, 2025 and 2024, $191,214 and $2,364,604 of unrecognized compensation expense related to non-vested awards is expected to be recognized over the weighted average period of 9.25 and 1.73 years, respectively. The aggregate intrinsic value is calculated as the difference between the fair value of the Company’s stock price and the exercise price of the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will vest quarterly,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with respect to, and status of, RSUs during the three months ended March 31,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340,783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2,604,753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2,607,763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stock-based compensation expense related to RSUs of $314,626 which is included in general and administrative expense. As of March 31, 2025, unrecognized compensation cost related to the grant of RSUs was $2,295,624. Unvested outstanding RSUs as of March 31, 2025 had a weighted average remaining vesting period of 2.25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an annual effective tax rate of 19% for the year ended December 31, 2025. The effective tax rate for the three months ended March 31, 2025 is (1.45)%.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Company had no unrecognized tax benefits that would reduce the Company’s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three reportable operating segments, Banzai Operating Co, Inc., Banzai Reel Acquisition Inc. (OpenReel), and Vidello Limited (Vidello). The Company’s segments deliver SaaS tools that leverage data, analytics, and AI to provide marketing and sales solutions, including video production and editing, for businesses of all sizes.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three months ending March 31, 2025:</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5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1,159,746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1,441,543</w:t>
            </w:r>
          </w:p>
        </w:tc>
        <w:tc>
          <w:tcPr>
            <w:tcW w:w="1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777,794</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3,379,083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376,598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74,808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154,593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605,999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783,148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1,366,735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2,773,084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People</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2,203,746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89,848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795,096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276,408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518,880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27,377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368,582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20,128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73,022</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461,732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3,643,832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667,973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203,458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4,515,263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698,762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2,616,000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301,825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2,917,825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(5,476,684)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396,937</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419,743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-1567815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-1567815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-1567815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-454025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-454025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-454025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firstLine="8"/>
        <w:spacing w:after="0" w:line="223" w:lineRule="auto"/>
        <w:tabs>
          <w:tab w:leader="none" w:pos="104"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insurance expenses, and expenses related to licenses.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three months ending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OpenReel</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Vidello</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1,079,472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1,079,472</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381,380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381,380</w:t>
            </w:r>
          </w:p>
        </w:tc>
        <w:tc>
          <w:tcPr>
            <w:tcW w:w="0" w:type="dxa"/>
            <w:vAlign w:val="bottom"/>
          </w:tcPr>
          <w:p>
            <w:pPr>
              <w:spacing w:after="0"/>
              <w:rPr>
                <w:sz w:val="1"/>
                <w:szCs w:val="1"/>
                <w:color w:val="auto"/>
              </w:rPr>
            </w:pPr>
          </w:p>
        </w:tc>
      </w:tr>
      <w:tr>
        <w:trPr>
          <w:trHeight w:val="210"/>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698,092</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People</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1,252,667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1,252,667</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368,738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368,738</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208,787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208,787</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9"/>
                <w:szCs w:val="9"/>
                <w:color w:val="auto"/>
              </w:rPr>
              <w:t>2</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379,770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379,770</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2,209,962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2,209,962</w:t>
            </w:r>
          </w:p>
        </w:tc>
        <w:tc>
          <w:tcPr>
            <w:tcW w:w="0" w:type="dxa"/>
            <w:vAlign w:val="bottom"/>
          </w:tcPr>
          <w:p>
            <w:pPr>
              <w:spacing w:after="0"/>
              <w:rPr>
                <w:sz w:val="1"/>
                <w:szCs w:val="1"/>
                <w:color w:val="auto"/>
              </w:rPr>
            </w:pPr>
          </w:p>
        </w:tc>
      </w:tr>
      <w:tr>
        <w:trPr>
          <w:trHeight w:val="210"/>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(1,511,870)</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1,888,827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1,888,827</w:t>
            </w:r>
          </w:p>
        </w:tc>
        <w:tc>
          <w:tcPr>
            <w:tcW w:w="0" w:type="dxa"/>
            <w:vAlign w:val="bottom"/>
          </w:tcPr>
          <w:p>
            <w:pPr>
              <w:spacing w:after="0"/>
              <w:rPr>
                <w:sz w:val="1"/>
                <w:szCs w:val="1"/>
                <w:color w:val="auto"/>
              </w:rPr>
            </w:pPr>
          </w:p>
        </w:tc>
      </w:tr>
      <w:tr>
        <w:trPr>
          <w:trHeight w:val="209"/>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(3,400,697)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(3,400,697)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-1567815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-1567815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-1567815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-454025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-454025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-454025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firstLine="8"/>
        <w:spacing w:after="0" w:line="223" w:lineRule="auto"/>
        <w:tabs>
          <w:tab w:leader="none" w:pos="9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OpenReel acquisition occurred on December 18, 2024 and therefore is presented at $0 for comparative purposes. The Vidello acquisition occurred on January 31, 2025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and therefore is presented at $0 for comparative purposes.</w:t>
      </w:r>
    </w:p>
    <w:p>
      <w:pPr>
        <w:spacing w:after="0" w:line="213" w:lineRule="exact"/>
        <w:rPr>
          <w:sz w:val="20"/>
          <w:szCs w:val="20"/>
          <w:color w:val="auto"/>
        </w:rPr>
      </w:pPr>
    </w:p>
    <w:p>
      <w:pPr>
        <w:jc w:val="both"/>
        <w:ind w:firstLine="8"/>
        <w:spacing w:after="0" w:line="231" w:lineRule="auto"/>
        <w:tabs>
          <w:tab w:leader="none" w:pos="104"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between reportable segment adjusted EBITDA to consolidated net loss before income taxes for the three months ended March 31, 2025, and 2024, is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March 31, 2024</w:t>
            </w:r>
          </w:p>
        </w:tc>
      </w:tr>
      <w:tr>
        <w:trPr>
          <w:trHeight w:val="156"/>
        </w:trPr>
        <w:tc>
          <w:tcPr>
            <w:tcW w:w="51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EBITDA by segment</w:t>
            </w:r>
          </w:p>
        </w:tc>
        <w:tc>
          <w:tcPr>
            <w:tcW w:w="2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r>
      <w:tr>
        <w:trPr>
          <w:trHeight w:val="162"/>
        </w:trPr>
        <w:tc>
          <w:tcPr>
            <w:tcW w:w="5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Banzai Operating Co.</w:t>
            </w:r>
          </w:p>
        </w:tc>
        <w:tc>
          <w:tcPr>
            <w:tcW w:w="24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(5,476,684)</w:t>
            </w:r>
          </w:p>
        </w:tc>
        <w:tc>
          <w:tcPr>
            <w:tcW w:w="3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(3,400,697)</w:t>
            </w:r>
          </w:p>
        </w:tc>
      </w:tr>
      <w:tr>
        <w:trPr>
          <w:trHeight w:val="162"/>
        </w:trPr>
        <w:tc>
          <w:tcPr>
            <w:tcW w:w="51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OpenReel</w:t>
            </w:r>
          </w:p>
        </w:tc>
        <w:tc>
          <w:tcPr>
            <w:tcW w:w="2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396,937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Vidello</w:t>
            </w: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419,743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6"/>
        </w:trPr>
        <w:tc>
          <w:tcPr>
            <w:tcW w:w="51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2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(4,660,004)</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(3,400,697)</w:t>
            </w:r>
          </w:p>
        </w:tc>
      </w:tr>
      <w:tr>
        <w:trPr>
          <w:trHeight w:val="162"/>
        </w:trPr>
        <w:tc>
          <w:tcPr>
            <w:tcW w:w="5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2"/>
        </w:trPr>
        <w:tc>
          <w:tcPr>
            <w:tcW w:w="5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i w:val="1"/>
                <w:iCs w:val="1"/>
                <w:color w:val="auto"/>
              </w:rPr>
              <w:t>Reconciliation to loss before income taxes:</w:t>
            </w:r>
          </w:p>
        </w:tc>
        <w:tc>
          <w:tcPr>
            <w:tcW w:w="2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Changes in fair value of financial instruments</w:t>
            </w: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344,592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21,000</w:t>
            </w:r>
          </w:p>
        </w:tc>
      </w:tr>
      <w:tr>
        <w:trPr>
          <w:trHeight w:val="162"/>
        </w:trPr>
        <w:tc>
          <w:tcPr>
            <w:tcW w:w="5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Interest income</w:t>
            </w:r>
          </w:p>
        </w:tc>
        <w:tc>
          <w:tcPr>
            <w:tcW w:w="2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(10)</w:t>
            </w: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451,399</w:t>
            </w:r>
          </w:p>
        </w:tc>
      </w:tr>
      <w:tr>
        <w:trPr>
          <w:trHeight w:val="162"/>
        </w:trPr>
        <w:tc>
          <w:tcPr>
            <w:tcW w:w="5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Interest expense – related party</w:t>
            </w:r>
          </w:p>
        </w:tc>
        <w:tc>
          <w:tcPr>
            <w:tcW w:w="2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358,381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577,513</w:t>
            </w: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Gain (loss) on extinguishment of liabilities, net</w:t>
            </w: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(2,573,511)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(527,980)</w:t>
            </w:r>
          </w:p>
        </w:tc>
      </w:tr>
      <w:tr>
        <w:trPr>
          <w:trHeight w:val="162"/>
        </w:trPr>
        <w:tc>
          <w:tcPr>
            <w:tcW w:w="5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Loss on debt issuance</w:t>
            </w:r>
          </w:p>
        </w:tc>
        <w:tc>
          <w:tcPr>
            <w:tcW w:w="2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273,800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171,000</w:t>
            </w: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GEM settlement fee expense</w:t>
            </w: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200,000</w:t>
            </w:r>
          </w:p>
        </w:tc>
      </w:tr>
      <w:tr>
        <w:trPr>
          <w:trHeight w:val="162"/>
        </w:trPr>
        <w:tc>
          <w:tcPr>
            <w:tcW w:w="5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Yorkville prepayment premium expense</w:t>
            </w:r>
          </w:p>
        </w:tc>
        <w:tc>
          <w:tcPr>
            <w:tcW w:w="2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Loss on Yorkville SEPA advances</w:t>
            </w: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384,524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246,691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1,564</w:t>
            </w: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(124,531)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(4,118)</w:t>
            </w:r>
          </w:p>
        </w:tc>
      </w:tr>
      <w:tr>
        <w:trPr>
          <w:trHeight w:val="175"/>
        </w:trPr>
        <w:tc>
          <w:tcPr>
            <w:tcW w:w="51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Loss before income taxes</w:t>
            </w:r>
          </w:p>
        </w:tc>
        <w:tc>
          <w:tcPr>
            <w:tcW w:w="246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(3,569,948)</w:t>
            </w:r>
          </w:p>
        </w:tc>
        <w:tc>
          <w:tcPr>
            <w:tcW w:w="38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(4,291,065)</w:t>
            </w: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93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percentage of revenue generated by SaaS product for the three months ended March 31, 2025, and 2024:</w:t>
      </w:r>
    </w:p>
    <w:p>
      <w:pPr>
        <w:sectPr>
          <w:pgSz w:w="11900" w:h="16838" w:orient="portrait"/>
          <w:cols w:equalWidth="0" w:num="1">
            <w:col w:w="11240"/>
          </w:cols>
          <w:pgMar w:left="320" w:top="9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OpenReel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Act-On Software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w:t>
      </w:r>
    </w:p>
    <w:p>
      <w:pPr>
        <w:spacing w:after="0" w:line="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5715</wp:posOffset>
            </wp:positionV>
            <wp:extent cx="12001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5715</wp:posOffset>
            </wp:positionV>
            <wp:extent cx="1200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w:t>
      </w:r>
    </w:p>
    <w:p>
      <w:pPr>
        <w:spacing w:after="0" w:line="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5715</wp:posOffset>
            </wp:positionV>
            <wp:extent cx="12001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99.0%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5715</wp:posOffset>
            </wp:positionV>
            <wp:extent cx="1200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100.0%</w:t>
      </w:r>
    </w:p>
    <w:p>
      <w:pPr>
        <w:spacing w:after="0" w:line="1529" w:lineRule="exact"/>
        <w:rPr>
          <w:sz w:val="20"/>
          <w:szCs w:val="20"/>
          <w:color w:val="auto"/>
        </w:rPr>
      </w:pPr>
    </w:p>
    <w:p>
      <w:pPr>
        <w:sectPr>
          <w:pgSz w:w="11900" w:h="16838" w:orient="portrait"/>
          <w:cols w:equalWidth="0" w:num="3">
            <w:col w:w="6700" w:space="720"/>
            <w:col w:w="1800" w:space="200"/>
            <w:col w:w="1820"/>
          </w:cols>
          <w:pgMar w:left="320" w:top="982" w:right="339" w:bottom="1440" w:gutter="0" w:footer="0" w:header="0"/>
          <w:type w:val="continuous"/>
        </w:sectPr>
      </w:pP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22, 2025, the Company entered into an Agreement and Plan of Merger (the “AO Merger Agreement”) with Act-On Software Inc., a Delaware corporation (“Act-On”), and Banzai Passage Inc., a Delaware corporation and wholly owned subsidiary of Banzai (“Passage”) that was formed solely for purposes of consummating the transactions contemplated in the AO Merger Agreement (the “AO Merger”). Pursuant to the AO Merger Agreement, subject to the satisfaction or waiver of the conditions set forth therein, upon closing of the AO Merger (the “Closing”), Act-On will merge with and into Passage, with Act-On surviving the AO Merger (the “AO Surviving Entity”), thereafter being a direct, wholly owned subsidiary of Banzai. The AO Merger is intended to qualify for federal income tax purposes as a tax-free reorganization under the provisions of Section 368(a) of the Internal Revenue Code of 1986, as amended. The Company's primary reason for acquiring Act-On was to enhance revenue growth and strengthen the Company's competitive market position through cross selling opportunities. Act-On provides customers with a marketing automation platform for mid-market and enterprise B2B customers, assisting with engaging prospects and customers during the customer lifecycle, including lead generation, automated multi-channel marketing, customer journey orchestration, email personalization, customer data management, and sales intelligence.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AO Merger Agreement, at the effective time of the Merger (the “AO Effective Time”), the aggregate merger consideration to be issued to Act-On Stockholders and certain Management Employees (as defined in the AO Merger Agreement) shall be a total of approximately $35,050,000, payable in cash and in shares of our Class A Common Stock, subject to adjustment as set forth in the AO Merger Agreement (the “AO Merger Consideration”). The adjustments to the AO Merger Consideration in the AO Merger Agreement include a customary working capital adjustment based on the amount by which certain working capital items at closing are greater or less than the target working capital as defined in the AO Merger Agreement. In addition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type w:val="continuous"/>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to the AO Merger Consideration, at the AO Effective Time, we will fully pay off a certain loan owed to a certain lender of Act-On as of the AO Closing (the “Payoff Amount”) and the out-of-pocket expenses incurred by Act-On in connection with the AO Merger (the “Transaction Expenses”) in cash to Act-On Stockholders, and issue a number of shares of Class A Common Stock (the “AO Share Consideration”) (or pre-funded warrants in lieu thereof, the “AO Pre-Funded Warrants”) to Act-On Stockholders and Management Employees that equal to the quotient of $33,200,000 divided by the average of the daily volume-weighted average trading prices of Class A Common Stock for the consecutive five (5) Trading Days (as defined in the AO Merger Agreement) immediately prior to and including the Trading Day immediately preceding the date of closing (the “AO Closing Date”) (the “Banzai 5-Day VWAP”).</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in the AO Merger Agreement to the contrary, Banzai shall not issue any shares of Class A Common Stock, to the extent that the issuance of shares of Class A Common Stock as AO Share Consideration would result in the Act-On Stockholders and Management Employees receiving an aggregate number of shares of Class A Common Stock exceeding 19.99% of the total shares of Class A Common Stock and shares of Class B Common Stock issued and outstanding immediately prior to the AO Effective Time (the “Nasdaq Ownership Limitation”). In addition, notwithstanding anything in the AO Merger Agreement and AO Pre-Funded Warrants to the contrary, Banzai shall not issue any shares of Class A Common Stock, to the extent that any issuance of the shares of Class A Common Stock as AO Share Consideration would result in an Act-On Stockholder or a Management Employee, together with its affiliates, beneficially owning (as determined in accordance with Section 13(d) of the Exchange Act and the rules promulgated thereunder) more than 4.99% of the Class A Common Stock issued and outstanding immediately following such issuance (the “Beneficial Ownership Limitation” and, together with Nasdaq Ownership Limitation, the “Ownership Limitations”). If and to the extent either of the Ownership Limitations prevents Banzai from issuing AO Share Consideration comprised exclusively of shares of Class A Common Stock, then Banzai instead will issue as AO Share Consideration (i) the maximum number of shares of Class A Common Stock that may be issued without exceeding either Ownership Limitation, and (ii) AO Pre-Funded Warrants exercisable for the number of shares of Class A Common Stock the issuance of which was prevented by application of the Ownership Limitations.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shares of Class A Common Stock and AO Pre-Funded Warrants will be issued to the Management Employees under Banzai’s 2023 equity incentive plan, as amended, pursuant to the registration statement on Form S-8, as amended (File No. 333-278218) and some of the shares of Class A Common Stock and AO Pre-Funded Warrants will be issued to certain Act-On Stockholders and Management Employees in reliance upon exemption provided by Rule 506(b) of Regulation D promulgated thereunder of the Securities Act, pursuant to a subscription booklet (the “Subscription Booklet”).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AO Pre-Funded Warrant shall have an exercise price of $0.001 per each share of Class A Common Stock issuable thereunder. The AO Pre-Funded Warrants will be registered in Banzai’s books and will not be listed for trading on any stock exchange or trading market. The terms of the AO Pre-Funded Warrants will provide that Banzai shall not issue shares of Class A Common Stock to any holder of a AO Pre-Funded Warrant upon the exercise thereof to the extent that after giving effect to such issuance, such holder would beneficially own a number of shares of Class A Common Stock in excess of the Nasdaq Ownership Limitation. Notwithstanding the foregoing, the Nasdaq Ownership Limitation shall not apply following the receipt of the Banzai stockholder approval contemplated by Rule 5635 of the Nasdaq listing rules with respect to the issuance of shares of Class A Common Stock upon exercise of the AO Pre-Funded Warrants in excess of the Nasdaq Ownership Limitation (the “AO Stockholder Approval”). The AO Pre-Funded Warrants also contain a beneficial ownership limitation that provides that the Company shall not effect any exercise of the AO Pre-Funded Warrants, and the holders of the AO Pre-Funded Warrants shall not have the right to exercise any portion of the AO Pre-Funded Warrants, to the extent that after giving effect to such issuance after exercise, the holder would beneficially own in excess of the Beneficial Ownership Limitation.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Closing, Banzai will convene and hold a special meeting of its stockholders to obtain the AO Stockholder Approval (the “AO Special Meeting”). In connection with the AO Special Meeting, on January 22, 2025, Joseph P. Davy, Banzai’s Chief Executive Officer, who holds approximately 78.55% of Banzai’s total voting power as of the date of the AO Merger Agreement, entered into a Voting and Support Agreement, with Banzai (the “Voting and Support Agreement”) that obligates him to vote all the shares of Class B Common Stock beneficially owned by him in favor of the AO Stockholder Approval.</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AO Merger Agreement, Banzai will withhold from the AO Share Consideration a number of shares of Class A Common Stock equal to the quotient of $2,000,000 divided by the Banzai’s 5-Day VWAP, as adjusted pursuant to the AO Merger Agreement (the “Indemnification Holdback Amount”), as security for the obligations of Act-On Stockholders pursuant to the AO Merger Agreement. The Indemnification Holdback Amount shall be held for a period of twelve (12) months following the Closing Date (the “Indemnification Holdback Period”) and shall be released to Act-On Stockholders and Management Employees (in accordance with the Allocation Schedule) within ten (10) business days of the expiration of the Indemnification Holdback Period. The released aggregate amount shall be equal to (a) the Indemnification Holdback Amount, as allocated to Act-On Stockholders and Management Employees in accordance with the Allocation Schedule, less (b) any amounts set off against the Indemnification Holdback Amount pursuant to the AO Merger Agreement. The Indemnification Holdback amount shall be held by the Transfer Agent for the benefit of Act-On Stockholders and Management Employees and shall be released to Act-On Stockholders and Management Employees pursuant to the terms of a certain share consideration escrow agreement (the “Escrow Agreement”) by and among Banzai, Act-On, each of Act-On Stockholders and Management Employees and Continental Stock Transfer &amp; Trust Company, a New York limited purpose trust company (the “Escrow Agent”).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On or prior to the consummation of the AO Merger, parties will enter into the Escrow Agreement, pursuant to which, the Escrow Agent shall hold, for the benefit of Banzai, the Indemnification Holdback Amount. The Escrow Agent shall administer the Indemnification Holdback Amount in accordance with the written instructions jointly provided by Banzai and Act-On to the Escrow Agent to release the Indemnification Holdback Amount, or any portion thereof, as set forth in such instruction.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prior to the consummation of the AO Merger, Banzai shall execute and deliver to the Act-On Stockholders and Management Employees a registration rights agreement (the “AO Registration Rights Agreement”), pursuant to which, among other things, Banzai will agree to register for resale, within five (5) Business Days (as defined in the AO Merger Agreement) following the AO Closing, on an applicable registration statement under the Securities Act, the shares of Class A Common Stock, to be issued to the Act-On Stockholders and Management Employees pursuant to the AO Merger Agreement and the shares of Class A Common Stock issuable upon exercise of the AO Pre-Funded Warrants.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customary closing conditions, including (1) (A) adoption of the AO Merger Agreement by the Act-On Stockholders that hold the requisite percentage necessary to approve the AO Merger under Act-On’s Amended and Restated Certificate of Incorporation and (B) approval of the AO Transaction by Banzai’s board of directors, (2) authorization for listing on the Nasdaq Capital Market of the shares of Class A Common Stock to be issued in the AO Merger, subject to official notice of issuance, and (3) the absence of any order, injunction, decree or other legal restraint preventing the completion of the AO Merger or making the completion of the AO Merger illegal, the Company must also obtain sufficient financing to satisfy the Payoff Amount and the cash portion of the AO Merger Consideration, for which we cannot guarantee will be obtained on terms acceptable to us, or at all. As of the date hereof, we have not entered into any definitive agreements for such financing and therefore are unsure when the AO Merger will close, if ever. Each party’s obligation to complete the AO Merger is also subject to certain additional customary conditions, including subject to certain exceptions, the accuracy of the representations and warranties of the other party and performance in all material respects by the other party of its obligations under the AO Merger Agreement. The AO Merger Agreement also contains customary representations, warranties, and indemnities of Banzai and Act-On.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2025 1800 Diagonal Promissory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2025, the Company entered into a Securities Purchase Agreement with 1800 Diagonal, in connection with the issuance of a convertible promissory note, in the aggregate principal amount of $230,000. The maturity date of the note is February 15, 2026. The note was issued with an approximately thirteen percent (13%) original issue discount and bears interest at an annual rate of twelve percent (12%).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repay the note in installments, beginning on October 15, 2025, and continuing on November 15, 2025, December 15, 2025, January 15, 2026 and on February 15, 2026 (each, an "Installment Date") in an amount equal to the sum of (i) $128,800 of principal in respect to the first Installment Date, and $32,200 in respect of the second, third, fourth and fifth Installment Dates (or the outstanding principal if less than such amount).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 is convertible into shares of the Company's Class A Common Stock, par value $0.0001 per share (the "Class A Common Stock") at a conversion price equal to 75% of the Market Price (as defined within the agreement), but only on an event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2025 1800 Diagonal Promissory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2025, the Company entered into a Securities Purchase Agreement with 1800 Diagonal, in connection with the issuance of a convertible promissory note, in the aggregate principal amount of $163,300. The maturity date of the note is February 15, 2026. The note was issued with an approximately thirteen percent (13%) original issue discount and bears interest at an annual rate of twelve percent (12%).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repay the note in installments, beginning on June 15, 2025, and continuing on monthly through February 15, 2026 (each, an "Installment Date") in an amount equal to the sum of (i) $91,448 of principal in respect to the first Installment Date, and $11,431 in respect of each following monthly Installment Date, respectively (or the outstanding principal if less than such amount).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 is convertible into shares of the Company's Class A Common Stock, par value $0.0001 per share (the "Class A Common Stock") at a conversion price equal to 75% of the Market Price (as defined within the agreement), but only on an event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Hudson Consulting Agreement</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April 25, 2025, the Company issued 400,000 restricted shares of its Class A Common Stock to Hudson, in exchange for certain business advisory services as outlined in a consulting agreement with Hudson, executed on April 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Alco Prefunded Warrant Exercise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1,048,820 shares of Class A Common Stock to Alco, resulting from the exercise by Alco of prefunded warrants purchased during September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Between April 1, 2025 and May 13, 2025, the Company settled the twenty-first through thirty-second Advance Notices received subsequent to March 31, 2025, by selling an aggregate of 2,821,166 shares of Class A Common Stock to Yorkville for an aggregate total purchase price of approximately $2,782,119.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that are included elsewhere in this Form 10-Q.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Form 10-Q.</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3,070 customers as of March 31, 2025 and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163 on March 31, 2025.</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generated revenue approximately $3.4 million and $1.1 million during the three months ended March 31, 2025 and 2024, respectively. Banzai has incurred significant net losses since inception, including net losses of approximately $3.6 million and $4.3 million for the three months ended March 31, 2025 and 2024, respectively. Banzai had an accumulated deficit of $81.9 million and $78.3 million as of March 31,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recent Mergers and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 Merger</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12529"/>
        </w:rPr>
        <w:t>On December 18, 2024 (the “OR Closing Date”), we closed the merger (the “Merger”, the consummation of the Merger, the “Closing”) with ClearDoc, Inc., a Delaware corporation doing business as OpenReel (“OpenReel”), pursuant to an Agreement and Plan of Merger (the “OR Merger Agreement”), dated December 10, 2024, by and among the Company, OpenReel, certain stockholders of OpenReel (the “OpenReel Stockholders”), and Banzai Reel Acquisition, Inc., a Delaware corporation and our wholly owned subsidiary (“Merger Sub”), that was formed solely for purposes of consummating the Merger. Upon Closing, the Merger Sub merged with and into OpenReel, with OpenReel being the surviving entity (the “Surviving Entity”) thereafter as our direct and wholly owned subsidiary named “OpenReel, Inc.”.</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12529"/>
        </w:rPr>
        <w:t>At the effective time of the Merger (the “Effective Time”), each share of capital stock of OpenReel issued and outstanding immediately prior to the Effective Time (other than shares as to which dissenter’s rights have been properly exercised and certain other excluded shares) was converted into the right to receive our Common Stock, and pre-funded warrants, each exercisable for one (1) share of Banzai Common Stock at an exercise price of US$0.0001 (the “Pre-Funded Warrants”) issued in lieu thereof, in an amount equal to the quotient of $19,600,000 divided by the Conversion Price (as defined in the OR Merger Agreement) (the “Merger Consideration”).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The Merger Consideration consisted of an aggregate of 930,558 shares of Banzai Common Stock and 11,769,501 Pre-Funded Warrants. The shares of Banzai Common Stock and Pre-Funded Warrants issued by Banzai to the OpenReel Stockholders pursuant to the OR Merger Agreement were issued in reliance upon the exemption from registration provided by Section 4(a)(2) of the Securities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Vidello Acquisition</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On January 31, 2025, the Company closed on the Vidello Limited acquisition, a private limited company registered in England and Wales for approximately $2.7 million in cash ($2,500,000 are withheld for indemnification expenses and other holdback provisions in accordance with the Acquisition Agreement, the “Cash Consideration”) and 898,204 shares of Banzai Class A common stock, pursuant to an Acquisition Agreement (the “Acquisition Agreement”), dated December 19, 2024, by and among the Company, Vidello, and certain shareholders of Vidello (the “Vidello Shareholders”). Vidello Shareholders transferred all the outstanding shares of Vidello to the Company, therefore, Vidello became a direct and wholly owned subsidiary of the Company. The Share Consideration to the Vidello Shareholders pursuant to the Acquisition Agreement were issued in reliance upon the exemption from registration provided by Regulation D as promulgated under the Securities Act of 1933, as amended (the “Securities Act”).</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Vidello provides a suite of products for 3D video creation, royalty free music, and video marketing, with over $6.5 million in TTM revenue, $2 million in TTM EBITDA, which results are expected to reduce the combined company in operating losses to approximately $1.3 million per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Act On Merger</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January 22, 2025, the Company entered into an Agreement and Plan of Merger (the “AO Merger Agreement”) with Act-On Software Inc., a Delaware corporation (“Act-On”), and Banzai Passage Inc., a Delaware corporation and wholly owned subsidiary of Banzai (“Passage”) that was formed solely for purposes of consummating the transactions contemplated in the AO Merger Agreement (the “AO Merger”). Pursuant to the AO Merger Agreement, subject to the satisfaction or waiver of the conditions set forth therein, upon closing of the AO Merger (the “Closing”), Act-On will merge with and into Passage, with Act-On surviving the AO Merger (the “AO Surviving Entity”), thereafter being a direct, wholly owned subsidiary of Banzai. The AO Merger is intended to qualify for federal income tax purposes as a tax-free reorganization under the provisions of Section 368(a) of the Internal Revenue Code of 1986, as amended.</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AO Merger Agreement, at the effective time of the Merger (the “AO Effective Time”), the aggregate merger consideration to be issued to Act-On Stockholders and certain Management Employees (as defined in the AO Merger Agreement) shall be a total of approximately $35,050,000, payable in cash and in shares of our Class A Common Stock, subject to adjustment as set forth in the AO Merger Agreement (the “AO Merger Consideration”). The adjustments to the AO Merger Consideration in the AO Merger Agreement include a customary working capital adjustment based on the amount by which certain working capital items at closing are greater or less than the target working capital as defined in the AO Merger Agreement. In addition to the AO Merger Consideration, at the AO Effective Time, we will fully pay off a certain loan owed to a certain lender of Act-On as of the AO Closing (the “Payoff Amount”) and the out-of-pocket expenses incurred by Act-On in connection with the AO Merger (the “Transaction Expenses”) in cash to Act-On Stockholders, and issue a number of shares of Class A Common Stock (the “AO Share Consideration”) (or pre-funded warrants in lieu thereof, the “AO Pre-Funded Warrants”) to Act-On Stockholders and Management Employees that equal to the quotient of $33,200,000 divided by the average of the daily volume-weighted average trading prices of Class A Common Stock for the consecutive five (5) Trading Days (as defined in the AO Merger Agreement) immediately prior to and including the Trading Day immediately preceding the date of closing (the “AO Closing Date”) (the “Banzai 5-Day VWAP”).</w:t>
      </w:r>
    </w:p>
    <w:p>
      <w:pPr>
        <w:spacing w:after="0" w:line="190"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Notwithstanding anything in the AO Merger Agreement to the contrary, Banzai shall not issue any shares of Class A Common Stock, to the extent that the issuance of shares of Class A Common Stock as AO Share Consideration would result in the Act-On Stockholders and Management Employees receiving an aggregate number of shares of Class A Common Stock exceeding 19.99% of the total shares of Class A Common Stock and shares of Class B Common Stock issued and outstanding immediately prior to the AO Effective Time (the “Nasdaq Ownership Limitation”). In addition, notwithstanding anything in the AO Merger Agreement and AO Pre-Funded Warrants to the contrary, Banzai shall not issue any shares of Class A Common Stock, to the extent that any issuance of the shares of Class A Common Stock as AO Share Consideration would result in an Act-On Stockholder or a Management Employee, together with its affiliates, beneficially owning (as determined in accordance with Section 13(d) of the Exchange Act and the rules promulgated thereunder) more than 4.99% of the Class A Common Stock issued and outstanding immediately following such issuance (the “Beneficial Ownership Limitation” and, together with Nasdaq Ownership Limitation, the “Ownership Limitations”). If and to the extent either of the Ownership Limitations prevents Banzai from issuing AO Share Consideration comprised exclusively of shares of Class A Common Stock, then Banzai instead will issue as AO Share Consideration (i) the maximum number of shares of Class A Common Stock that may be issued without exceeding either Ownership Limitation, and</w:t>
      </w:r>
    </w:p>
    <w:p>
      <w:pPr>
        <w:spacing w:after="0" w:line="4" w:lineRule="exact"/>
        <w:rPr>
          <w:sz w:val="20"/>
          <w:szCs w:val="20"/>
          <w:color w:val="auto"/>
        </w:rPr>
      </w:pPr>
    </w:p>
    <w:p>
      <w:pPr>
        <w:ind w:firstLine="8"/>
        <w:spacing w:after="0" w:line="250" w:lineRule="auto"/>
        <w:tabs>
          <w:tab w:leader="none" w:pos="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 Pre-Funded Warrants exercisable for the number of shares of Class A Common Stock the issuance of which was prevented by application of the Ownership Limitations.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Some of the shares of Class A Common Stock and AO Pre-Funded Warrants will be issued to the Management Employees under Banzai’s 2023 equity incentive plan, as amended, pursuant to the registration statement on Form S-8, as amended (File No. 333-278218) and some of the shares of Class A Common Stock and AO Pre-Funded Warrants will be issued to certain Act-On Stockholders and Management Employees in reliance upon exemption provided by Rule 506(b) of Regulation D promulgated thereunder of the Securities Act, pursuant to a subscription booklet (the “Subscription Booklet”).</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Each AO Pre-Funded Warrant shall have an exercise price of $0.001 per each share of Class A Common Stock issuable thereunder. The AO Pre-Funded Warrants will be registered in Banzai’s books and will not be listed for trading on any stock exchange or trading market. The terms of the AO Pre-Funded Warrants will provide that Banzai shall not issue shares of Class A Common Stock to any holder of a AO Pre-Funded Warrant upon the exercise thereof to the extent that after giving effect to such issuance, such holder would beneficially own a number of shares of Class A Common Stock in excess of the Nasdaq Ownership Limitation. Notwithstanding the foregoing, the Nasdaq Ownership Limitation shall not apply following the receipt of the Banzai stockholder approval contemplated by Rule 5635 of the Nasdaq listing rules with respect to the issuance of shares of Class A Common Stock upon exercise of the AO Pre-Funded Warrants in excess of the Nasdaq Ownership Limitation (the “AO Stockholder Approval”). The AO Pre-Funded Warrants also contain a beneficial ownership limitation that provides that the Company shall not effect any exercise of the AO Pre-Funded Warrants, and the holders of the AO Pre-Funded Warrants shall not have the right to exercise any portion of the AO Pre-Funded Warrants, to the extent that after giving effect to such issuance after exercise, the holder would beneficially own in excess of the Beneficial Ownership Limitation.</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Following the Closing, Banzai will convene and hold a special meeting of its stockholders to obtain the AO Stockholder Approval (the “AO Special Meeting”). In connection with the AO Special Meeting, on January 22, 2025, Joseph P. Davy, Banzai’s Chief Executive Officer, who holds approximately 78.55% of Banzai’s total voting power as of the date of the AO Merger Agreement, entered into a Voting and Support Agreement, with Banzai (the “Voting and Support Agreement”) that obligates him to vote all the shares of Class B Common Stock beneficially owned by him in favor of the AO Stockholder Approval.</w:t>
      </w:r>
    </w:p>
    <w:p>
      <w:pPr>
        <w:spacing w:after="0" w:line="18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Pursuant to the AO Merger Agreement, Banzai will withhold from the AO Share Consideration a number of shares of Class A Common Stock equal to the quotient of $2,000,000 divided by the Banzai’s 5-Day VWAP, as adjusted pursuant to the AO Merger Agreement (the “Indemnification Holdback Amount”), as security for the obligations of Act-On Stockholders pursuant to the AO Merger Agreement. The Indemnification Holdback Amount shall be held for a period of twelve (12) months following the Closing Date (the “Indemnification Holdback Period”) and shall be released to Act-On Stockholders and Management Employees (in accordance with the Allocation Schedule) within ten (10) business days of the expiration of the Indemnification Holdback Period. The released aggregate amount shall be equal to (a) the Indemnification Holdback Amount, as allocated to Act-On Stockholders and Management Employees in accordance with the Allocation Schedule, less (b) any amounts set off against the Indemnification Holdback Amount pursuant to the AO Merger Agreement. The Indemnification Holdback amount shall be held by the Transfer Agent for the benefit of Act-On Stockholders and Management Employees and shall be released to Act-On Stockholders and Management Employees pursuant to the terms of a certain share consideration escrow agreement (the “Escrow Agreement”) by and among Banzai, Act-On, each of Act-On Stockholders and Management Employees and Continental Stock Transfer &amp; Trust Company, a New York limited purpose trust company (the “Escrow Agent”).</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or prior to the consummation of the AO Merger, parties will enter into the Escrow Agreement, pursuant to which, the Escrow Agent shall hold, for the benefit of Banzai, the Indemnification Holdback Amount. The Escrow Agent shall administer the Indemnification Holdback Amount in accordance with the written instructions jointly provided by Banzai and Act-On to the Escrow Agent to release the Indemnification Holdback Amount, or any portion thereof, as set forth in such instruction.</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or prior to the consummation of the AO Merger, Banzai shall execute and deliver to the Act-On Stockholders and Management Employees a registration rights agreement (the “AO Registration Rights Agreement”), pursuant to which, among other things, Banzai will agree to register for resale, within five (5) Business Days (as defined in the AO Merger Agreement) following the AO Closing, on an applicable registration statement under the Securities Act, the shares of Class A Common Stock, to be issued to the Act-On Stockholders and Management Employees pursuant to the AO Merger Agreement and the shares of Class A Common Stock issuable upon exercise of the AO Pre-Funded Warrants.</w:t>
      </w:r>
    </w:p>
    <w:p>
      <w:pPr>
        <w:spacing w:after="0" w:line="18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to the customary closing conditions, including (1) (A) adoption of the AO Merger Agreement by the Act-On Stockholders that hold the requisite percentage necessary to approve the AO Merger under Act-On’s Amended and Restated Certificate of Incorporation and (B) approval of the AO Transaction by Banzai’s board of directors, (2) authorization for listing on the Nasdaq Capital Market of the shares of Class A Common Stock to be issued in the AO Merger, subject to official notice of issuance, and (3) the absence of any order, injunction, decree or other legal restraint preventing the completion of the AO Merger or making the completion of the AO Merger illegal, the Company must also obtain sufficient financing to satisfy the Payoff Amount and the cash portion of the AO Merger Consideration, for which we cannot guarantee will be obtained on terms acceptable to us, or at all. As of the date hereof, we have not entered into any definitive agreements for such financing and therefore are unsure when the AO Merger will close, if ever.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Each party’s obligation to complete the AO Merger is also subject to certain additional customary conditions, including subject to certain exceptions, the accuracy of the representations and warranties of the other party and performance in all material respects by the other party of its obligations under the AO Merger Agreement. The AO Merger Agreement also contains customary representations, warranties, and indemnities of Banzai and Act-On.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August 29, 2024, we held a special meeting of securityholders (the “Special Meeting”).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 reverse stock split at a ratio of 1-for-50, effective as of September 19, 2024 and filed an amendment with the Secretary of State of the State of Delaware.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had a hearing before the Nasdaq Hearings Panel (the "Panel") on September 19, 2024. On September 26, 2024, Nasdaq provided the Company with its determination to phase the Company down from the Nasdaq Global Market to the Nasdaq Capital Market (the "Exchange") and grant the Company an extension until January 31, 2025 to demonstrate compliance with Nasdaq's listing rules, so long as the company applies to list on the Nasdaq Capital Market on or before October 7, 2024 and demonstrates compliance with Listing Rules 5550(a)(2), 5550(a)(5) and 5550(b)(1) on or before January 31, 2024. On February 12, 2025, the Company received a letter from the Nasdaq Stock Market LLC, Office of the General Counsel that Nasdaq's Listing Qualifications staff confirmed that the Company has demonstrated compliance with all of the Nasdaq Stock Market's listing requirements and therefore the Company's securities will remain listed on the Exchange.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Financings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The Company may seek to raise additional capital through a private placement leveraging SEPA with the proceeds to support its operation and expansion through acquisition.</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12529"/>
        </w:rPr>
        <w:t>On May 22, 2024, we priced a “best efforts” public offering for the sale by the Company of an aggregate of 104,556 shares of our Class A common stock, pre-funded warrants exercisable into 173,222 shares of Class A Common Stock (the “May Pre-Funded Warrants”), and common warrants exercisable into 277,778 shares of Class A Common Stock (the “Common Warrants”). The public offering price was $9.00 per aggregate share. The May Pre-Funded Warrants are exercisable immediately, may be exercised at any time until all of the May Pre-Funded Warrants are exercised in full, and have an exercise price of $0.0050. The Common Warrants are exercisable immediately for a term of five years and have an exercise price of $9.00.</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A.G.P./Alliance Global Partners (“AGP”) acted as placement agent for the offering, pursuant to a placement agency agreement, dated May 22, 2024, between the Company and AGP (the “Placement Agency Agreement”). Under the Placement Agency Agreement, AGP received a cash fee of $174,939 and warrants (the “Placement Agent Warrants”) to purchase 16,667 shares of our Class A Common Stock at an exercise price per share equal to $10.00. The offering closed on May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Wainwright Private Financing</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12529"/>
        </w:rPr>
        <w:t>On September 24, 2024, the Company entered into a securities purchase agreement (the “Purchase Agreement”) with an institutional investor for the issuance and sale in a private placement (the “Private Placement”) of (i) pre-funded warrants (“HCW Pre-Funded Warrants”) to purchase up to 1,176,471 shares of the Company’s Class A common stock, par value $0.0001 per share (the “Common Stock”), at an exercise price of $0.001 per share, (ii) Series A warrants (the “Series A Warrants”) to purchase up to 1,176,471 shares of Common Stock, at an exercise price of $4.00 per share, and (iii) Series B warrants (the “Series B Warrants” and together with the Series A Warrants and the Placement Agent Warrants (defined below), the “Warrants” ) to purchase up to 1,176,471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HCW Pre-Funded Warrant and accompanying Warrants was $4.249. The Private Placement closed on September 26, 2024.</w:t>
      </w:r>
    </w:p>
    <w:p>
      <w:pPr>
        <w:spacing w:after="0" w:line="18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12529"/>
        </w:rPr>
        <w:t>A holder of the HCW Pre-Funded Warrants and the Warrants may not exercise any portion of such holder’s HCW Pre-Funded Warrants or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212529"/>
        </w:rPr>
        <w:t>transactions, holders of the Warrants will have the right to receive the Black Scholes Value of their Warrants calculated pursuant to a formula set forth in the Warrants, payable either in cash or in the same type or form of consideration that is being offered and being paid to the holders of Common Stock.</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In connection with the Private Placement, the Company entered into a registration rights agreement (the “Registration Rights Agreement”), dated as of September 24, 2024, with the investor, pursuant to which the Company agreed to prepare and file a registration statement on Form S-1 to register the resale of the shares of Common Stock underlying the HCW Pre-Funded Warrants and the Warrants, and to use its best efforts to have the registration statement declared effective as promptly as practical thereafter, and in any event no later than forty-five (45) days following the date of the Registration Rights Agreement (or seventy-five (75) days following the date of the Registration Rights Agreement in the event of a “full review” by the SEC). The Company filed an initial registration statement on Form S-1 (File No. 333-282506) with the SEC on October 4, 2024 and it was declared effective on November 6, 2024.</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The net proceeds to the Company from the Private Placement were approximately $4.4 million, after deducting placement agent fees and estimated offering expenses payable by the Company. The Company intends to use the net proceeds received from the Private Placement to support general corporate purposes and working capital.</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12529"/>
        </w:rPr>
        <w:t>H.C. Wainwright &amp; Co., LLC (“Wainwright”) acted as the Company’s exclusive placement agent in connection with the Private Placement, pursuant to that certain engagement letter, dated as of September 12, 2024, as amended, between the Company and Wainwright (the “Engagement Letter”). Pursuant to the Engagement Letter, the Company paid Wainwright (i) a total cash fee equal to 7.5% of the aggregate gross proceeds of the Private Placement (inclusive of the gross proceeds to be received from the exercise of any Warrants), (ii) a management fee of 1.0% of the aggregate gross proceeds of the Private Placement (inclusive of the gross proceeds to be received from the exercise of any Warrants), and (iii) a non-accountable expense allowance of $50,000. In addition, the Company issued to Wainwright or its designees warrants (the “Placement Agent Warrants”) to purchase up to an aggregate of 88,235 shares of Common Stock at an exercise price equal to $5.3125 per share and, if any Warrants are exercised for cash will be obligated to issue to Wainwright additional Placement Agent Warrants equal to 7.5% of the total Warrants exercised, if any. The Placement Agent Warrants have substantially the same terms as the Warrants, are exercisable immediately upon issuance and have a term of exercise equal to five (5) years from the date of issuance.</w:t>
      </w:r>
    </w:p>
    <w:p>
      <w:pPr>
        <w:spacing w:after="0" w:line="18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The Company has also agreed not to effect any Variable Rate Transaction (as defined in the Purchase Agreement) until one (1) year after the effective date of the Registration Statement (subject to certain exceptions). Since the OR Merger requires the Company to issue shares to the OpenReel Stockholders and file a registration statement prior to the expiration of the aforesaid period, the Wainwright Investor agreed o waive the Protective Provisions (the "Waiver"). In consideration for the Waiver, the Company agreed to reduce the exercise price of the Warrants issued to the Wainwright Investor from $4.00 to $2.50 per share.</w:t>
      </w:r>
    </w:p>
    <w:p>
      <w:pPr>
        <w:spacing w:after="0" w:line="18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12529"/>
        </w:rPr>
        <w:t>The Engagement Letter and the Purchase Agreement contain customary representations and warranties and agreements and obligations, conditions to closing and termination provisions. The foregoing descriptions of terms and conditions of the Purchase Agreement, the HCW Pre-Funded Warrants, the Series A Warrants, the Series B Warrants, the Placement Agent Warrants, and the Registration Rights Agreement do not purport to be complete and are qualified in their entirety by the full text of the form of the Purchase Agreement, the form of the HCW Pre-Funded Warrant, the form of the Series A Warrant, the form of the Series B Warrant, the form of the Placement Agent Warrant, and the form of the Registration Rights Agreement, which are attached hereto as Exhibits.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 xml:space="preserve">Between January 1, 2024 and December 31, 2024, 454,158 shares of Class A Common Stock had been issued upon conversion of outstanding promissory notes issued to </w:t>
      </w:r>
      <w:r>
        <w:rPr>
          <w:rFonts w:ascii="Times New Roman" w:cs="Times New Roman" w:eastAsia="Times New Roman" w:hAnsi="Times New Roman"/>
          <w:sz w:val="18"/>
          <w:szCs w:val="18"/>
          <w:color w:val="000000"/>
        </w:rPr>
        <w:t>YA II PN, LTD, a Cayman Islands exempt limited partnership managed by Yorkville Advisors Global, LP</w:t>
      </w:r>
      <w:r>
        <w:rPr>
          <w:rFonts w:ascii="Times New Roman" w:cs="Times New Roman" w:eastAsia="Times New Roman" w:hAnsi="Times New Roman"/>
          <w:sz w:val="18"/>
          <w:szCs w:val="18"/>
          <w:color w:val="212529"/>
        </w:rPr>
        <w:t xml:space="preserve"> and a cash payment of $750,000 was made in May 2024. The aggregate principal amount was fully satisfied such that there is no remaining balance under the Yorkville Promissory Notes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Debt Equitization Plan</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From August 23, 2024 to December 31,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the Company agreed to register in a registration statement on Form S-1 and Shares that are exempt from registration. As of May 12, 2025 the Company has issued an aggregate of 1,597,944 Shares to the Creditors in exchange for the cancellation of an aggregate of $5,068,547 of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H</w:t>
      </w:r>
      <w:r>
        <w:rPr>
          <w:rFonts w:ascii="Times New Roman" w:cs="Times New Roman" w:eastAsia="Times New Roman" w:hAnsi="Times New Roman"/>
          <w:sz w:val="18"/>
          <w:szCs w:val="18"/>
          <w:i w:val="1"/>
          <w:iCs w:val="1"/>
          <w:color w:val="000000"/>
        </w:rPr>
        <w:t>udson Global Ventures, LLC Consulting Services Agreement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January 3, 2025, the Company issued 150,000 restricted shares of its Common Stock, partially in exchange for the business advisory services outlined in the Consulting Agreement with Hudson Global Ventures, LLC, a Nevada limited liability company.</w:t>
      </w: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CP BF Pre-Funded Warrant Exercise</w:t>
      </w:r>
    </w:p>
    <w:p>
      <w:pPr>
        <w:spacing w:after="0" w:line="22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January 7, 2025, the Company issued 4 shares of Class A Common Stock for exercise of four (4) pre-funded warrants under the CP BF Pre-Funded Warrant, to CP BF.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January 3, 2025, the Company settled its outstanding obligation to sell shares of Class A Common Stock related to the fourth Advance Notice issued to Yorkville on December 30, 2024 pursuant to the SEPA. After adjustments to the number of shares originally requested pursuant to the terms of the SEPA, the Company settled the Advance Notice by selling a total of 30,489 shares of Class A Common Stock to Yorkville for a total purchase price of approximately $48,000.</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Between January 10, 2025 and May 13, 2025, the Company settled the fifth through thirty-second Advance Notices received subsequent to December 31, 2024, by selling an aggregate of 7,866,308 shares of Class A Common Stock to Yorkville for an aggregate total purchase price of approximately $9,420,433.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Issuance to Executives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6, 2025, the Company issued 337,773 RSUs to executives as part of the Company's fiscal 2024 bonus plan, following Board approvals.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 issuance to YA II PN, LTD.</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30, 2025, the Company entered into a convertible promissory note (the "Note") with Yorkville, in principal amount of $3,500,000 as an advance under the outstanding SEPA entered into on December 14, 2023. The maturity date of the note is July 31, 2025, and may be extended at the option of the Company. The note was issued with a ten percent (10%) original issue discount and bears interest at an annual rate of (i) zero percent (0%) for the first ninety (90) days following issuance, (ii) six percent (6%) thereafter, and (iii) upon the occurrence of an event of default, the interest rate shall increase to an annual rate of eighteen percent (18%) so long as the event or events of default remain uncured. Interest will be calculated on a 365-day year and the actual number of days elapsed.</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shall repay the note in installments, beginning on February 28, 2025, and continuing on March 31, 2025, and on April 30, 2025 (each, an "Installment Date") in an amount equal to the sum of (i) $1,500,000 of principal in respect to the first two Installment Dates, and $500,000 in respect of the third Installment Date (or the outstanding principal if less than such amount), plus (ii) a payment premium (in an amount equal to 4% of the principal amount being paid), and (iii) accrued and unpaid interest as of each installment date.</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Note is convertible into shares of the Company's Class A Common Stock, par value $0.0001 per share (the "Class A Common Stock") at a conversion price of $2.00 per share (the "Conversion Price"). The lender may elect to convert part or all of the outstanding balance of the Note at any time or from time to time after the issuance date. The Company may redeem the outstanding amount at any time, in whole or in part, subject to a 4% premium, provided that (i) the Company provides the lender with at least ten (10) trading days' prior written notice (each, a "Redemption Notice") of its desire to redeem the outstanding amount (an "Optional Redemption"), and (ii) on the date the Redemption Notice is issued, the VWAP of the Class A Common Stock is less than the Conversion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of Class A Common Stock issued to Winterberry</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4, 2025 the Company issued 30,000 shares to Verista Partners, Inc., aka Winterberry Group, one of its Creditors, in exchange for the cancellation of a portion of the total outstanding debt, in the amount of $16,666, pursuant to the Debt Reorganization.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Note Issuance to Agile Lending, LLC</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 of the December Agile Note, with a maturity date on the March Agile Note of November 12, 2025. The March Agile Note bears interest at a rate of 44%, and interest will be calculated on a three hundred and sixty</w:t>
      </w:r>
    </w:p>
    <w:p>
      <w:pPr>
        <w:spacing w:after="0" w:line="3" w:lineRule="exact"/>
        <w:rPr>
          <w:sz w:val="20"/>
          <w:szCs w:val="20"/>
          <w:color w:val="auto"/>
        </w:rPr>
      </w:pPr>
    </w:p>
    <w:p>
      <w:pPr>
        <w:ind w:firstLine="8"/>
        <w:spacing w:after="0" w:line="260" w:lineRule="auto"/>
        <w:tabs>
          <w:tab w:leader="none" w:pos="4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year based on the actual number of days lapsed, and interest shall accrue on the March Agile Note commencing on and including the effective date pursuant to the March Agile Note Agreement’s weekly repayment and amortization schedule.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the management of our businesses, we identify, measure, and evaluate a variety of operating metrics, as described below. These key performance measures and operating metrics are not prepared in accordance with GAAP and may not be comparable to or calculated in the same way as other similarly titled measures and metrics used by other companies. Measurements are specific to the group being measured, i.e. total customers, new customers, or other cohorts. We currently use these operating metrics with our Demio product. We do not track and use these operating metrics with prior products.</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 of Banzai’s revenue generated from Demio for the three months ended March 31, 2025 and 2024 as compared to our other SaaS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c>
          <w:tcPr>
            <w:tcW w:w="10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r>
      <w:tr>
        <w:trPr>
          <w:trHeight w:val="216"/>
        </w:trPr>
        <w:tc>
          <w:tcPr>
            <w:tcW w:w="8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r>
      <w:tr>
        <w:trPr>
          <w:trHeight w:val="211"/>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73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Reach</w:t>
            </w:r>
          </w:p>
        </w:tc>
        <w:tc>
          <w:tcPr>
            <w:tcW w:w="1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Demio</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OpenReel</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Vidello</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49"/>
        </w:trPr>
        <w:tc>
          <w:tcPr>
            <w:tcW w:w="7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(“NRR”)</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NRR is a metric Banzai uses to measure the revenue retention of its existing customer base. NRR calculates the change in revenue from existing customers by cohort over a period of time, after taking into account revenue lost due to customer churn and downgrades, and revenue gained due to upgrades and reactivations.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NRR is: NRR = (Revenue at the beginning of a period - Revenue lost from churn, and downgrades + Revenue gained from expansion and reactivation) / Revenue at the beginning of the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average monthly NRR for Demio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c>
          <w:tcPr>
            <w:tcW w:w="10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r>
      <w:tr>
        <w:trPr>
          <w:trHeight w:val="216"/>
        </w:trPr>
        <w:tc>
          <w:tcPr>
            <w:tcW w:w="11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r>
      <w:tr>
        <w:trPr>
          <w:trHeight w:val="211"/>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6"/>
        </w:trPr>
        <w:tc>
          <w:tcPr>
            <w:tcW w:w="73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Monthly NRR</w:t>
            </w:r>
          </w:p>
        </w:tc>
        <w:tc>
          <w:tcPr>
            <w:tcW w:w="1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98.7%</w:t>
            </w:r>
          </w:p>
        </w:tc>
        <w:tc>
          <w:tcPr>
            <w:tcW w:w="2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97.2%</w:t>
            </w:r>
          </w:p>
        </w:tc>
      </w:tr>
      <w:tr>
        <w:trPr>
          <w:trHeight w:val="432"/>
        </w:trPr>
        <w:tc>
          <w:tcPr>
            <w:tcW w:w="73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Average Customer Value (“ACV”)</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ACV is a metric Banzai uses to calculate the total revenue that it can expect to generate from a customer in a year. ACV is commonly used in the SaaS industry to measure the value of a customer to a subscription-based company over a 12-month period. Banzai uses ACV to segment its customers and to determine whether the value of new customers is growing or shrinking relative to the existing customer base. Banzai uses this information to make strategic decisions about pricing, marketing, and customer retention.</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ACV is: ACV = Total Annual Recurring Revenue (ARR) / Total Number Customers, where ARR is defined as annual run-rate revenue of subscription agreements from all customers measured at a point in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new customer ACV and total average ACV for Demio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c>
          <w:tcPr>
            <w:tcW w:w="160" w:type="dxa"/>
            <w:vAlign w:val="bottom"/>
          </w:tcPr>
          <w:p>
            <w:pPr>
              <w:spacing w:after="0"/>
              <w:rPr>
                <w:sz w:val="18"/>
                <w:szCs w:val="18"/>
                <w:color w:val="auto"/>
              </w:rPr>
            </w:pPr>
          </w:p>
        </w:tc>
        <w:tc>
          <w:tcPr>
            <w:tcW w:w="17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r>
      <w:tr>
        <w:trPr>
          <w:trHeight w:val="216"/>
        </w:trPr>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r>
      <w:tr>
        <w:trPr>
          <w:trHeight w:val="211"/>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35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New Customer ACV</w:t>
            </w:r>
          </w:p>
        </w:tc>
        <w:tc>
          <w:tcPr>
            <w:tcW w:w="4240" w:type="dxa"/>
            <w:vAlign w:val="bottom"/>
            <w:gridSpan w:val="2"/>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5,619</w:t>
            </w:r>
          </w:p>
        </w:tc>
        <w:tc>
          <w:tcPr>
            <w:tcW w:w="420" w:type="dxa"/>
            <w:vAlign w:val="bottom"/>
            <w:gridSpan w:val="2"/>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1,484</w:t>
            </w: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Average ACV</w:t>
            </w:r>
          </w:p>
        </w:tc>
        <w:tc>
          <w:tcPr>
            <w:tcW w:w="4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8,053</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r>
      <w:tr>
        <w:trPr>
          <w:trHeight w:val="414"/>
        </w:trPr>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Cost (“CAC”)</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CAC is a financial metric Banzai uses to evaluate the average cost of acquiring a new customer. It includes marketing, sales, and other related expenses incurred while attracting and converting prospects into paying customers. CAC is a critical metric for Banzai to understand the efficiency and effectiveness of its marketing and sales efforts, as well as to ensure sustainable growth.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CAC is: CAC = Total Sales &amp; Marketing Cost / Number of Customers Acquired.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CAC for Demio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c>
          <w:tcPr>
            <w:tcW w:w="160" w:type="dxa"/>
            <w:vAlign w:val="bottom"/>
          </w:tcPr>
          <w:p>
            <w:pPr>
              <w:spacing w:after="0"/>
              <w:rPr>
                <w:sz w:val="18"/>
                <w:szCs w:val="18"/>
                <w:color w:val="auto"/>
              </w:rPr>
            </w:pPr>
          </w:p>
        </w:tc>
        <w:tc>
          <w:tcPr>
            <w:tcW w:w="17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r>
      <w:tr>
        <w:trPr>
          <w:trHeight w:val="216"/>
        </w:trPr>
        <w:tc>
          <w:tcPr>
            <w:tcW w:w="11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r>
      <w:tr>
        <w:trPr>
          <w:trHeight w:val="21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80" w:type="dxa"/>
            <w:vAlign w:val="bottom"/>
          </w:tcPr>
          <w:p>
            <w:pPr>
              <w:spacing w:after="0"/>
              <w:rPr>
                <w:sz w:val="18"/>
                <w:szCs w:val="18"/>
                <w:color w:val="auto"/>
              </w:rPr>
            </w:pPr>
          </w:p>
        </w:tc>
        <w:tc>
          <w:tcPr>
            <w:tcW w:w="15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Customer Acquisition Cost (CAC)</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2,258</w:t>
            </w:r>
          </w:p>
        </w:tc>
        <w:tc>
          <w:tcPr>
            <w:tcW w:w="420" w:type="dxa"/>
            <w:vAlign w:val="bottom"/>
            <w:gridSpan w:val="2"/>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1,220</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Churn %</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Customer Churn % is the rate of customers who deactivate in a given period relative to the number of active customers at the beginning of such period or end of the prior period. Understanding drivers of churn allows Banzai to take measures to reduce the number of customers who deactivate and increase the overall rate of customer retention. There are two types of Churn % measured: Revenue churn and Customer (or logo) churn.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Churn % is: Churn % = [# or $ value of] Deactivations / [# or $ value of] Active Customers (Beginning of period).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Churn and new customer (or logo) Churn for Demio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c>
          <w:tcPr>
            <w:tcW w:w="10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r>
      <w:tr>
        <w:trPr>
          <w:trHeight w:val="216"/>
        </w:trPr>
        <w:tc>
          <w:tcPr>
            <w:tcW w:w="11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r>
      <w:tr>
        <w:trPr>
          <w:trHeight w:val="211"/>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73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Monthly Churn - Revenue</w:t>
            </w:r>
          </w:p>
        </w:tc>
        <w:tc>
          <w:tcPr>
            <w:tcW w:w="1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Monthly Churn - Customer (Logo)</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Churn - Customer (Logo) represents the number of customers, whereas the non-Logo Churn is based on sales dollars.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Lifetime Value (“LTV”)</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LTV is a financial metric Banzai uses to estimate the total revenue it can expect to generate from a customer throughout their entire relationship. LTV helps Banzai understand the long-term value of each customer, enabling it to make informed decisions about marketing, sales, customer support, and product development strategies. It also helps Banzai allocate resources more efficiently by identifying high-value customer segments to focus on growth and retention.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is comprised of two metrics: Monthly Recurring Revenue (MRR) and Customer Life represented in # of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Calculations for these metrics on a per-customer basis, as follows: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MRR = ACV / 12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Customer Life (# of months) = 1 / Churn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LTV = MRR * Customer Life (# of months)</w:t>
      </w:r>
    </w:p>
    <w:p>
      <w:pPr>
        <w:spacing w:after="0" w:line="20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MRR is calculated by aggregating, for all customers from customer base or the group being measured during that month, monthly revenue from committed contractual amounts. For customers on annual contracts, this represents their ACV divided by 12.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MRR, Customer Life, and LTV for Demio for the three months ended March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c>
          <w:tcPr>
            <w:tcW w:w="160" w:type="dxa"/>
            <w:vAlign w:val="bottom"/>
          </w:tcPr>
          <w:p>
            <w:pPr>
              <w:spacing w:after="0"/>
              <w:rPr>
                <w:sz w:val="18"/>
                <w:szCs w:val="18"/>
                <w:color w:val="auto"/>
              </w:rPr>
            </w:pPr>
          </w:p>
        </w:tc>
        <w:tc>
          <w:tcPr>
            <w:tcW w:w="17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r>
      <w:tr>
        <w:trPr>
          <w:trHeight w:val="216"/>
        </w:trPr>
        <w:tc>
          <w:tcPr>
            <w:tcW w:w="11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r>
      <w:tr>
        <w:trPr>
          <w:trHeight w:val="21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80" w:type="dxa"/>
            <w:vAlign w:val="bottom"/>
          </w:tcPr>
          <w:p>
            <w:pPr>
              <w:spacing w:after="0"/>
              <w:rPr>
                <w:sz w:val="18"/>
                <w:szCs w:val="18"/>
                <w:color w:val="auto"/>
              </w:rPr>
            </w:pPr>
          </w:p>
        </w:tc>
        <w:tc>
          <w:tcPr>
            <w:tcW w:w="15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MRR (New Customers)</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671</w:t>
            </w:r>
          </w:p>
        </w:tc>
        <w:tc>
          <w:tcPr>
            <w:tcW w:w="420" w:type="dxa"/>
            <w:vAlign w:val="bottom"/>
            <w:gridSpan w:val="2"/>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Life (months)</w:t>
            </w:r>
          </w:p>
        </w:tc>
        <w:tc>
          <w:tcPr>
            <w:tcW w:w="2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LTV (New Customers)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9,261</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LTV / CAC Ratio</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LTV / CAC ratio is a culminating metric measuring the efficiency of Sales and Marketing activities in terms of the dollar value of new business generated versus the amount invested in order to generate that new business. This provides a measurement of ROI for Sales and Marketing activities. A segmented view of LTV / CAC ratio gives additional insight into the profitability of various business development activities.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 CAC ratio is: LTV / CAC for the segment or activity being measured.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LTV / CAC ratio for Demio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c>
          <w:tcPr>
            <w:tcW w:w="10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w:t>
            </w:r>
          </w:p>
        </w:tc>
      </w:tr>
      <w:tr>
        <w:trPr>
          <w:trHeight w:val="216"/>
        </w:trPr>
        <w:tc>
          <w:tcPr>
            <w:tcW w:w="11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00" w:type="dxa"/>
            <w:vAlign w:val="bottom"/>
          </w:tcPr>
          <w:p>
            <w:pPr>
              <w:spacing w:after="0"/>
              <w:rPr>
                <w:sz w:val="18"/>
                <w:szCs w:val="18"/>
                <w:color w:val="auto"/>
              </w:rPr>
            </w:pP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r>
      <w:tr>
        <w:trPr>
          <w:trHeight w:val="211"/>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6"/>
        </w:trPr>
        <w:tc>
          <w:tcPr>
            <w:tcW w:w="74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LTV / CAC Ratio</w:t>
            </w:r>
          </w:p>
        </w:tc>
        <w:tc>
          <w:tcPr>
            <w:tcW w:w="18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94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Key Business Drivers on Financial Performance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strives to maximize revenue growth within a reasonable cost structure through optimizing and continuous monitoring of the key business metrics described above relative to SaaS industry benchmarks, Banzai’s direct competition, and historical company performance. This is accomplished through a combination of increased revenue per customer (higher ACVs and NRR) on an increasing customer base, generated through efficient customer acquisition (LTV / CAC ratio) and improved customer retention (lower churn, higher customer life). Other business activities contribute to improved performance and metrics, including but not limited to the following:</w:t>
      </w:r>
    </w:p>
    <w:p>
      <w:pPr>
        <w:spacing w:after="0" w:line="183"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Success and Onboarding, leading to maximum customer satisfaction and retention.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Support, maximizing customer value, supporting usage and expansion revenue.</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Initiatives, designed to improve trial experience and conversion rates, on-demand adoption, and emphasis on data to position our products as a system of automation and a system of record for our customers, supporting growth and retention.</w:t>
      </w: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Identification of Operational Risk Factors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a number of key internal and external operational risks to the successful execution of Banzai’s strategy.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risks include, among others:</w:t>
      </w:r>
    </w:p>
    <w:p>
      <w:pPr>
        <w:spacing w:after="0" w:line="22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leadership issues: ineffective leadership, poor decision-making, or lack of direction.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inefficiencies: inadequate processes and poor resource allocation may lead to decreased productivity or insufficient ROI.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mismanagement: inadequate financial planning, improper accounting practices, or excessive debt can lead to financial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challenges: high turnover, lack of skilled staff, or internal conflicts can impact morale and productivity.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obsolescence: failing to develop (or adapt) to new technologies in anticipation or response to changes in market trends can lead to competitive disadvantages.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External risks include, among others:</w:t>
      </w:r>
    </w:p>
    <w:p>
      <w:pPr>
        <w:spacing w:after="0" w:line="225"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economic downturns, inflation, or currency fluctuations impacting business spending and overall market conditions.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established industry players to new entrants, eroding market share and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laws or regulations that impact operations or increase compliance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disruptions: from advancements in technology leading to obsolescence of existing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including natural disasters, geo-political instability, and pandemics, potentially impacting market demand, operational or supply chain disruption.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Operational Risks on Financial Performance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risk factors described above could have significant impacts on Banzai’s financial performance. These or other factors, including those risk factors summarized in the section titled “Risk Factors” could impact Banzai’s ability to generate and grow revenue, contain costs, or inhibit profitability, cash flow, and overall financial performance:</w:t>
      </w:r>
    </w:p>
    <w:p>
      <w:pPr>
        <w:spacing w:after="0" w:line="176"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Sales: Internal risks from operating inefficiency or external factors, including economic downturns or increased competition, could lead to lower sales, impaired unit economics, and reduced revenue.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Internal operating mismanagement or external factors, including supplier issues, may cause increased cost relative to revenue generation, resulting in insufficient return on investment or profit margins.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By continuing to conduct comprehensive risk monitoring and analysis on financial performance, Banzai can optimize its ability to make informed decisions and improve its ability to navigate internal and external challenges. Such activities include: identification and categorization of risks, quantification and analysis of potential severity, and development of risk mitigation strategies. It is also important for Banzai to ensure financial reports and disclosures accurately reflect the potential impact of risks on financial performance, essential for transparent communication with investors and stakeholders.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and officers’ liability insurance, director fees and additional internal and external accounting, legal and administrative resources, including increased audit and legal fees. We are qualified as an “emerging growth company.” As a result, we have been provided certain disclosure and regulatory relief. Our future results of operations and financial position may not be comparable to Legacy Banzai’s historical results of operations and financial position as a result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2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3,379</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52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09"/>
        </w:trPr>
        <w:tc>
          <w:tcPr>
            <w:tcW w:w="5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1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52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5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09"/>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09"/>
        </w:trPr>
        <w:tc>
          <w:tcPr>
            <w:tcW w:w="52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w:t>
            </w: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debt issuance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term notes</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198"/>
        </w:trPr>
        <w:tc>
          <w:tcPr>
            <w:tcW w:w="52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liabilities -</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09"/>
        </w:trPr>
        <w:tc>
          <w:tcPr>
            <w:tcW w:w="52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10"/>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0"/>
        </w:trPr>
        <w:tc>
          <w:tcPr>
            <w:tcW w:w="52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center"/>
              <w:ind w:left="75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12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90"/>
        </w:trPr>
        <w:tc>
          <w:tcPr>
            <w:tcW w:w="830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The percentage changes included in the tables herein that are not considered meaningful are presented as “nm".</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 for the three months ended March 31, 2025 and 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52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1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52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460" w:type="dxa"/>
            <w:vAlign w:val="bottom"/>
            <w:gridSpan w:val="3"/>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3,379</w:t>
            </w:r>
          </w:p>
        </w:tc>
        <w:tc>
          <w:tcPr>
            <w:tcW w:w="20" w:type="dxa"/>
            <w:vAlign w:val="bottom"/>
            <w:shd w:val="clear" w:color="auto" w:fill="CFF0FC"/>
          </w:tcPr>
          <w:p>
            <w:pPr>
              <w:spacing w:after="0"/>
              <w:rPr>
                <w:sz w:val="17"/>
                <w:szCs w:val="17"/>
                <w:color w:val="auto"/>
              </w:rPr>
            </w:pPr>
          </w:p>
        </w:tc>
        <w:tc>
          <w:tcPr>
            <w:tcW w:w="24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1,079</w:t>
            </w:r>
          </w:p>
        </w:tc>
        <w:tc>
          <w:tcPr>
            <w:tcW w:w="220" w:type="dxa"/>
            <w:vAlign w:val="bottom"/>
            <w:gridSpan w:val="4"/>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2,300</w:t>
            </w:r>
          </w:p>
        </w:tc>
        <w:tc>
          <w:tcPr>
            <w:tcW w:w="1560" w:type="dxa"/>
            <w:vAlign w:val="bottom"/>
            <w:gridSpan w:val="3"/>
            <w:shd w:val="clear" w:color="auto" w:fill="CFF0FC"/>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7"/>
              </w:rPr>
              <w:t>213.2%</w:t>
            </w:r>
          </w:p>
        </w:tc>
      </w:tr>
      <w:tr>
        <w:trPr>
          <w:trHeight w:val="432"/>
        </w:trPr>
        <w:tc>
          <w:tcPr>
            <w:tcW w:w="1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52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-6231255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-6231255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-6231255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-5665470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-5665470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-5665470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-5374005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-5374005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-5374005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-2750820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-2750820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-2750820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-2459355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-2459355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-2459355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Banzai reported total revenue of approximately $3,379 thousand, representing an increase of approximately $2,300 thousand, or approximately 213.2%, compared to the period ended March 31, 2024. This increase is primarily attributable to the revenue generated by the acquistions of OpenReel and Vidello where OpenReel revenues of approximately $1,442 thousand and Vidello revenues of approximately $712 thousand for the three months ended March 31, 2025 and an increase in Reach revenue by approximately $83 thousand.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1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5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606</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381</w:t>
            </w: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225</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59.1%</w:t>
            </w: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Banzai’s cost of revenue totaled approximately $606 thousand and approximately $381 thousand, respectively. This represents an increase of approximately $225 thousand, or approximately 59.1%, for the three months ended March 31, 2025 as compared to the three months ended March 31, 2024. This increase is due primarily attributable to the additional costs of OpenReel and Vidello products which were approximately $75 thousand and $136 thousand,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1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5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2,773</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2,075</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297.3%</w:t>
            </w:r>
          </w:p>
        </w:tc>
      </w:tr>
    </w:tbl>
    <w:p>
      <w:pPr>
        <w:spacing w:after="0" w:line="200" w:lineRule="exact"/>
        <w:rPr>
          <w:sz w:val="20"/>
          <w:szCs w:val="20"/>
          <w:color w:val="auto"/>
        </w:rPr>
      </w:pPr>
    </w:p>
    <w:p>
      <w:pPr>
        <w:spacing w:after="0" w:line="21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Banzai’s gross profit was approximately $2,773 thousand and approximately $698 thousand, respectively. This represents an increase of approximately $2,075 thousand, or approximately 297.3% due to the increase in revenue of approximately $2,300 thousand and increase in cost of revenue of approximately $225 thousand described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1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2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5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7,680</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4,101</w:t>
            </w: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3,579</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87.3%</w:t>
            </w:r>
          </w:p>
        </w:tc>
      </w:tr>
    </w:tbl>
    <w:p>
      <w:pPr>
        <w:spacing w:after="0" w:line="19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Total operating expenses for the three months ended March 31, 2025 and 2024, were approximately $7.7 million and approximately $4.1 million, respectively, an increase of approximately $3.6 million, or 87.3%. This increase was due primarily to the additions of OpenReel and Vidello expenses which were approximately $1.1 million and $0.2 million, respectively. Additionally the increase was due to an overall increase in salaries and related expenses by approximately $0.8 million, marketing expenses by approximately $0.6 million, and costs associated with audit, technical accounting, and legal and other professional services of approximately $0.7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38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other expenses (income)</w:t>
            </w:r>
          </w:p>
        </w:tc>
        <w:tc>
          <w:tcPr>
            <w:tcW w:w="1860" w:type="dxa"/>
            <w:vAlign w:val="bottom"/>
            <w:gridSpan w:val="2"/>
            <w:shd w:val="clear" w:color="auto" w:fill="CFF0FC"/>
          </w:tcPr>
          <w:p>
            <w:pPr>
              <w:ind w:left="1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(1,337)</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889</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(2,226)</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-250.4%</w:t>
            </w:r>
          </w:p>
        </w:tc>
      </w:tr>
      <w:tr>
        <w:trPr>
          <w:trHeight w:val="432"/>
        </w:trPr>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w w:val="99"/>
              </w:rPr>
              <w:t>53</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firstLine="4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Banzai reported total other income of approximately $1.3 million. The change in other expenses (income), net was primarily driven by the following: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 settlement commitment fee expense of approximately $0.2 million during the three months ended March 31, 2024.</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debt of approximately $4.3 million recognized during the three months ended March 31, 2025 compared to $0.5 million recognizd during the three months ended March 31, 2024.</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$0.3 million during the three months ended March 31, 2025 compared to $0.2 million during the three months ended March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term notes of approximately $1.8 million during the three months ended March 31, 2025.</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warrant liability recorded as a gain (third party &amp; related party) of approximately $0.5 million during the three months ended March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(third party and related party) decreased by approximately $0.7 million.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bifurcated embedded derivative assets during the three months ended March 31, 2025 was approximately $0.04 million.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convertible promissory notes recorded as a loss of approximately $0.2 million during the three months ended March 31, 2025 compared to a loss of approximately $0.5 million during the three months ended March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term notes recorded as a loss of approximately $0.2 million during the three months ended March 31,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Yorkville prepayment premium expense of approximately $0.07 million and loss on SEPA advances to Yorkville of approximately $0.4 million during the three months ended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1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40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-7500.0%</w:t>
            </w: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Banzai’s reported provision for income tax expense was $74 thousand. Banzai did not report a provision for income tax expense for the three months ended March 31, 2024.</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Due to Banzai's history of losses since inception, there is not enough evidence at this time to support that Banzai will generate future income of a sufficient amount and nature to utilize the benefits of its net deferred tax assets. Accordingly, the deferred tax assets have been reduced by a full valuation allowance, since Banzai cannot currently support that realization of its deferred tax assets is more likely than not.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2025, Banzai had no unrecognized tax benefits that would reduce Banzai's effective tax rate if recognized.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Analysis</w:t>
            </w: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1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36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0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(3,644)</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(4,291)</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Banzai reported net losses of approximately $3.6 million and approximately $4.3 million, respectively. The lower net loss is primarily due to a decrease in total other expenses (income), net of approximately $2.2</w:t>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million during the three months ended March 31, 2025 compared to the three months ended March 31, 2024, in addition to an increase in operating expenses of approximately $3.6 million, and an increase in gross profit of $2.2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condensed consolidated financial statements prospectively from the date of the change in the estimate.</w:t>
      </w:r>
    </w:p>
    <w:p>
      <w:pPr>
        <w:spacing w:after="0" w:line="19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determination of opening balances in purchase accounting for business combinations, and in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2024, the Company had two operating segments, which were deemed to be its reporting units, for the purpose of evaluating goodwill impairment, and the annual impairment test is performed as of December 31.</w:t>
      </w:r>
    </w:p>
    <w:p>
      <w:pPr>
        <w:spacing w:after="0" w:line="15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4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As of the annual impairment testing date of December 31, 2024, the Company bypassed the qualitative assessment and proceeded directly to the quantitative impairment test based on the stock price of the Company on the measurement date and economic uncertainty. To perform the quantitative assessment, the Company engaged a third-party service provider to assist management with the determination of the fair value of the Company. The Company estimated fair value of equity using the market capitalization method of the market approach, consideration of initiatives unknown by the market and evaluation of any implied control premium. Management further supported the conclusions by assessing a combination of an income valuation methodology, comprising a discounted cash flow analysis and market valuation methodologies, comprising the guideline public company and guideline transaction methods.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market capitalization method calculated the aggregate market value of the Company based on the total number of outstanding shares of common and preferred stock and the market prices of the shares as of the assessment date. The Company evaluated conditions that were unknown by the market as of the assessment date and how a market participant would evaluate an implied control premium for the Company. The implied control premium was supported using a discounted cash flow analysis that contemplated the present value of assumed market participant cost savings and synergies.</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market approach for the guideline public company method utilizes observable market data from comparable public companies, including revenue multiples, to estimate the Company’s fair value. This approach also incorporates a control premium to represent the</w:t>
      </w: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results of the quantitative assessment indicated that the carrying amount of the Company's OpenReel reporting unit exceeded its fair value, which resulted in an impairment loss of $2.7 million at December 31, 2024.</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will continue evaluating the economic conditions at future reporting periods for triggering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 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68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 for the three months ended March 31, 2025 and 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r>
      <w:tr>
        <w:trPr>
          <w:trHeight w:val="211"/>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37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 (Loss)</w:t>
            </w:r>
          </w:p>
        </w:tc>
        <w:tc>
          <w:tcPr>
            <w:tcW w:w="1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(1,742)</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(1,512)</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Banzai’s Adjusted EBITDA was approximately $1.7 million, reflecting a decrease in the earnings of approximately $0.2 million compared to a loss of approximately $1.5 million for the three months ended March 31, 2024. This period-over-period decrease is primarily attributable to increased gain on extinguishments of liabilities offset by loss on issuance of term notes and increased transaction 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 for the three months ended March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r>
      <w:tr>
        <w:trPr>
          <w:trHeight w:val="21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55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(3,644)</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(4,291)</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GEM commitment fee expense</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722.5%</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198"/>
        </w:trPr>
        <w:tc>
          <w:tcPr>
            <w:tcW w:w="55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liabilities - related</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4"/>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party</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3025.0%</w:t>
            </w:r>
          </w:p>
        </w:tc>
      </w:tr>
      <w:tr>
        <w:trPr>
          <w:trHeight w:val="216"/>
        </w:trPr>
        <w:tc>
          <w:tcPr>
            <w:tcW w:w="5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 Transaction related expenses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in Thousands)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study, M&amp;A support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related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r>
      <w:tr>
        <w:trPr>
          <w:trHeight w:val="238"/>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r>
      <w:tr>
        <w:trPr>
          <w:trHeight w:val="191"/>
        </w:trPr>
        <w:tc>
          <w:tcPr>
            <w:tcW w:w="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10"/>
        </w:trPr>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12"/>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57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467360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-993775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-719455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-436245</wp:posOffset>
            </wp:positionV>
            <wp:extent cx="713232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2">
            <w:col w:w="4820" w:space="720"/>
            <w:col w:w="5700"/>
          </w:cols>
          <w:pgMar w:left="320" w:top="98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Since inception, Banzai has financed its operations primarily from the sales of redeemable convertible preferred stock and convertible promissory notes, and proceeds from senior secured loans. As of March 31, 2025, Banzai had cash of approximately $0.8 million.</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has incurred losses since its inception, had a working capital deficit of approximately $26.6 million as of March 31, 2025, and had an accumulated deficit at March 31, 2025 totaling approximately $81.9 million. As of March 31, 2025, Banzai had approximately $5.9 million and approximately $9.8 million aggregate principal amount outstanding on term/promissory notes and convertible notes, respectively. During the three months ended March 31, 2025, Banzai raised additional capital under the SEPA of approximately $7.1 million through the issuance of shares and approximately $3.1 million through the issuance of additional convertible notes to fund the Company's operations.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Banzai’s intends to seek additional funding through the SEPA arrangement and other equity financings in 2025. If Banzai is unable to raise such funding, Banzai will have to pursue an alternative course of action to seek additional capital through other debt and equity financing. On April 17, 2024 and May 9, 2025, we entered into convertible promissory notes with 1800 Diagonal, in principal amounts of $230,000 and $163,000, respectively.</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If Banzai is unable to raise sufficient additional capital, through future debt or equity financings or through strategic and collaborative ventures with third parties, Banzai will not have sufficient cash flows and liquidity to fund its planned business for 12 months from the issuance of these financial statements, including the inability to close the Act On acquisition. There can be no assurances that Banzai will be able to secure alternate forms of financing at terms that are acceptable to management. In that event, Banzai might be forced to limit many of its business plans and consider other means of creating value for its stockholders. Based on the factors described above, and after considering management’s plans, there is substantial doubt about Banzai’s ability to continue as a going concern within one year from the date the financial statements were available to be issued. The accompanying condensed consolidated financial statements have been prepared assuming Banzai will continue as a going concern, which contemplates the realization of assets and satisfaction of liabilities in the normal course of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2025 and 2024</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Banzai’s cash flows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Period-over-</w:t>
            </w:r>
          </w:p>
        </w:tc>
        <w:tc>
          <w:tcPr>
            <w:tcW w:w="1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Period-over-</w:t>
            </w:r>
          </w:p>
        </w:tc>
      </w:tr>
      <w:tr>
        <w:trPr>
          <w:trHeight w:val="21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c>
          <w:tcPr>
            <w:tcW w:w="10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Period %</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55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(3,643)</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(4,290)</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r>
      <w:tr>
        <w:trPr>
          <w:trHeight w:val="21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 (decrease) in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0"/>
        </w:trPr>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2025</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 issuance of approximately $0.2 million, depreciation and amortization of intangible assets of approximately $0.7 million and net of change in operating assets and liabilities of approximately $0.9 million.</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$2.7 million for the three months ended March 31, 2025 and was related to the net cash paid in the acquisition of Vidello.</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$2.1 million for the three months ended March 31, 2024. Net cash used in operating activities consists of net loss of approximately $4.5 million, offset by total adjustments of $2.4 million for non-cash items and the effect of changes in working capital. Non-cash adjustments included non-cash settlement of the GEM commitment fee of approximately $0.2 million, stock-based compensation expense of approximately $0.3 million, gain on extinguishment of liability of $0.5 million, non-cash interest expense of approximately $0.5 million (approximately $0.09 million for related party), amortization of debt discount and issuance costs of approximately $0.5 million (approximately $0.5 million for related party), amortization of operating lease ROU assets of approximately $0.04 million, fair value adjustment for warrant liabilities gain of approximately $0.5 million (gain of approximately $0.1 million for related party), and net of change in operating assets and liabilities of approximately $1.2 million.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net cash investing activities for the three months ended March 31, 2024.</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$1.1 million for the three months ended March 31, 2024, and was primarily related to proceeds from convertible debt financing of approximately $2.3 million and payment of the GEM commitment fee of approximately $1.2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 Commitments and Financing Requirements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05"/>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4"/>
                <w:szCs w:val="24"/>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Less than 1 year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1 - 3 Years</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64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Debt principal - 15.5% CP BF convertible notes</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7,389</w:t>
            </w: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7,389</w:t>
            </w: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Agile</w:t>
            </w:r>
          </w:p>
        </w:tc>
        <w:tc>
          <w:tcPr>
            <w:tcW w:w="3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Yorkville</w:t>
            </w:r>
          </w:p>
        </w:tc>
        <w:tc>
          <w:tcPr>
            <w:tcW w:w="3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debt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capital expenditure commitments and financing requirements at March 31, 2025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14,147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6,052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8,095</w:t>
            </w:r>
          </w:p>
        </w:tc>
      </w:tr>
      <w:tr>
        <w:trPr>
          <w:trHeight w:val="20"/>
        </w:trPr>
        <w:tc>
          <w:tcPr>
            <w:tcW w:w="1220" w:type="dxa"/>
            <w:vAlign w:val="bottom"/>
            <w:tcBorders>
              <w:top w:val="single" w:sz="8" w:color="CFF0FC"/>
            </w:tcBorders>
            <w:shd w:val="clear" w:color="auto" w:fill="CFF0FC"/>
          </w:tcPr>
          <w:p>
            <w:pPr>
              <w:spacing w:after="0" w:line="20" w:lineRule="exact"/>
              <w:rPr>
                <w:sz w:val="1"/>
                <w:szCs w:val="1"/>
                <w:color w:val="auto"/>
              </w:rPr>
            </w:pPr>
          </w:p>
        </w:tc>
        <w:tc>
          <w:tcPr>
            <w:tcW w:w="5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- 15.5% CB PF Convertible Note</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70,000 shares of the Company's Class A Common Stock. On September 23, 2024 the transaction was finalized and the Company issued the 2024 CP BF Convertible Note with a principal amount of $10,758,775. Pursuant to the CP BF SPA, CP BF agreed to convert $2,000,000 in debt into 260,849 shares of Class A Common Stock, CP BF Warrants to purchase up to 565,553 shares of Class A Common Stock and CP BF Pre-Funded Warrants to purchase up to 304,704 shares of Class A Common Stock (all such securities and shares collectively referred to as the “CP BF Registrable Securities”). The outstanding principal balance of the 2024 CP BF Convertible Note together with accrued interest thereon, unpaid fees and expenses and any other Obligations then due, shall be paid on February 19, 2027 (“2024 Loan Maturity Date”). The 2024 CP BF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 Upon the occurrence, and during the continuance, of an Event of Default (as defined in the agreement), interest on the 2024 CP BF Convertible Note will bear PIK interest at a per annum rate of 20% (“2024 Default Rate”).</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Additionally, 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GEM Promissory Note</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20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November 15, 2024, the Company issued additional 150,000 shares to settle partial unpaid GEM promissory note balance. As of March 31, 2025, the Company has issued an aggregate of 190,000 shares of Class A Common Stock to GEM in lieu of monthly payment obligations and during the three months ending March 31, 2025 paid the remaining balance of the GEM Promissory Note of $215,057.</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20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w:t>
      </w:r>
    </w:p>
    <w:p>
      <w:pPr>
        <w:spacing w:after="0" w:line="14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spacing w:after="0" w:line="14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 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balances of the December Agile Note, with a maturity date on the March Agile Note of November 12, 2025. The March Agile Note bears interest at a rate of 44%, and interest will be calculated on a three hundred and sixty</w:t>
      </w:r>
    </w:p>
    <w:p>
      <w:pPr>
        <w:spacing w:after="0" w:line="3" w:lineRule="exact"/>
        <w:rPr>
          <w:sz w:val="20"/>
          <w:szCs w:val="20"/>
          <w:color w:val="auto"/>
        </w:rPr>
      </w:pPr>
    </w:p>
    <w:p>
      <w:pPr>
        <w:ind w:firstLine="8"/>
        <w:spacing w:after="0" w:line="260" w:lineRule="auto"/>
        <w:tabs>
          <w:tab w:leader="none" w:pos="4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year based on the actual number of days lapsed, and interest shall accrue on the March Agile Note commencing on and including the effective date pursuant to the March Agile Note Agreement’s weekly repayment and amortization schedule.</w:t>
      </w:r>
    </w:p>
    <w:p>
      <w:pPr>
        <w:spacing w:after="0" w:line="1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are together referred to as the “Agile Notes”.</w:t>
      </w:r>
    </w:p>
    <w:p>
      <w:pPr>
        <w:spacing w:after="0" w:line="22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Agile Notes include contingent redemption (put) rights which trigger mandatory prepayment and a make-whole premium upon certain events including an event of default, and defaulted contingent interest upon an event of default.</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on the Agile Notes totaled $450,426 for the three months ending March 31, 2025 and is included in the fair value of the notes.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$160,000 of proceeds, net of an original issue discount of $24,000,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$108,000 of proceeds, net of an original discount of $16,200,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spacing w:after="0" w:line="15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$124,200 and received $108,000 of proceeds, net of an original discount of $16,200, with a maturity date of October 15, 2025. The stated interest rate on the December Note is 12% per annum, and interest shall accrue on the December Note commencing on and including the issuance date pursuant to the December Note Agreement's repayment and amortization schedule.</w:t>
      </w:r>
    </w:p>
    <w:p>
      <w:pPr>
        <w:spacing w:after="0" w:line="13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August 1800 Diagonal Note, the September 1800 Diagonal Note, and the December 1800 Diagonal Note are together referred to as the “1800 Diagonal Notes”.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6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1800 Diagonal Notes include optional conversion rights to the holder upon an event of default, contingent redemption (put) rights which trigger mandatory prepayment upon event of default, and defaulted contingent interest upon an event of default.</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Due to these embedded features within the 1800 Diagonal Notes, the Company elected to account for the 1800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4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Interest expense on the 1800 Diagonal Notes totaled approximately $36,935 for the three months ended March 31, 2025 and is included in the fair value of the note.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on Debt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Interest on debt totals $0.7 million for the three months ended March 31, 2025, representing the aggregate interest expenses / payments obligation to be paid and to be recognized during the rest of the terms of the Loan Agreements and Notes, described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 has an operating lease for its real estate for office use. The lease term expires in October 2027. Banzai adopted ASC 842 Leases by applying the guidance at adoption date, January 1, 2022. The $23,485 balance recognized as of March 31, 2025 represents the future minimum lease payments under non-cancellable leases as liabilities.</w:t>
      </w:r>
    </w:p>
    <w:p>
      <w:pPr>
        <w:sectPr>
          <w:pgSz w:w="11900" w:h="16838" w:orient="portrait"/>
          <w:cols w:equalWidth="0" w:num="1">
            <w:col w:w="11240"/>
          </w:cols>
          <w:pgMar w:left="320" w:top="1161"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Structure and Maturity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in Thousands)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w:t>
      </w:r>
    </w:p>
    <w:p>
      <w:pPr>
        <w:spacing w:after="0" w:line="9"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Debt principal - 15.5% CP BF convertible notes Debt principal - Yorkville Debt principal - Agile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principal - 1800 Diagonal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carrying values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Premium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(Discount)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Issuance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Carrying Value and</w:t>
            </w:r>
          </w:p>
        </w:tc>
      </w:tr>
      <w:tr>
        <w:trPr>
          <w:trHeight w:val="238"/>
        </w:trPr>
        <w:tc>
          <w:tcPr>
            <w:tcW w:w="1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8"/>
              </w:rPr>
              <w:t>Principal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6"/>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w:t>
            </w:r>
          </w:p>
        </w:tc>
      </w:tr>
      <w:tr>
        <w:trPr>
          <w:trHeight w:val="407"/>
        </w:trPr>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7,399</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8,105</w:t>
            </w:r>
          </w:p>
        </w:tc>
      </w:tr>
      <w:tr>
        <w:trPr>
          <w:trHeight w:val="216"/>
        </w:trPr>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5,538</w:t>
            </w:r>
          </w:p>
        </w:tc>
      </w:tr>
      <w:tr>
        <w:trPr>
          <w:trHeight w:val="234"/>
        </w:trPr>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r>
      <w:tr>
        <w:trPr>
          <w:trHeight w:val="20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14,584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15,327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413"/>
        </w:trPr>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467360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-993775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-719455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-436245</wp:posOffset>
            </wp:positionV>
            <wp:extent cx="713232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2">
            <w:col w:w="3880" w:space="720"/>
            <w:col w:w="6640"/>
          </w:cols>
          <w:pgMar w:left="320" w:top="1161" w:right="339"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color w:val="auto"/>
        </w:rPr>
        <w:t>The Agile Notes and 1800 Diagonal Notes are presented at its fair value on the condensed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Banzai measures revenue based on considerations specified in terms and conditions agreed to by a customer. Furthermore, Banzai recognizes revenue in an amount that reflects the consideration we expect to be entitled to in exchange for those services. The performance obligation is satisfied by transferring control of the service to the customer, which occurs over time.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Banzai’s existing lease contains an escalation clause. Prior to adoption of ASU 2016-02 effective January 1, 2022, Banzai accounted for operating lease transactions by recording lease expense on a straight-line basis over the expected term of the lease.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entered into a sublease which it had identified as an operating lease prior to the adoption of ASC 842 Leases. Banzai remains the primary obligor to the head lease lessor, making rental payments directly to the lessor and separately billing the sublessee. The sublease is subordinated to the master lease, and the sublessee must comply with all applicable terms of the master lease. Banzai subleased the real estate to a third-party at a monthly rental payment amount that was less than the monthly cost that it pays on the headlease with the lessor.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 commitment fee liability</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May 2022, the Company entered into a Share Purchase Agreement with GEM Global Yield LLC SCS and GEM Yield Bahamas Limited (collectively, “GEM”) (the “GEM Agreement”) pursuant to which, among other things, upon the terms and subject to the conditions of the GEM Agreement, GEM is to purchase from the Company (or its successor following a Reverse Merger Transaction (as defined in the GEM Agreement)) up to the number of duly authorized, validly issued, fully paid and non-assessable shares of common stock having an aggregate value of $100,000,000 (the “GEM Financing”). Further, in terms of the GEM Agreement, on the Public Listing Date, the Company was required to make and execute a warrant ("GEM Warrant") granting GEM the right to purchase up to the number of common shares of the Company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December 13, 2023, the Company and GEM entered into a binding term sheet (the “GEM Term Sheet”) and, on December 14, 2023, a letter agreement (the “GEM Letter”), agreeing to terminate in its entirety the GEM Agreement by and between the Company and GEM, other than with respect to the Company’s obligation (as the post-combination company in the Merger)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March 31, 2025, the Company recognized, concurrent with the close of the merger, a liability for the GEM commitment fee, along with a corresponding GEM commitment fee expense, in the amount of $2.0 million.</w:t>
      </w:r>
    </w:p>
    <w:p>
      <w:pPr>
        <w:spacing w:after="0" w:line="16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note in the amount of $1.0 million, payable in monthly installments of $100,000 beginning on March 1, 2024, with the final payment to be made on December 1, 2024 (the “GEM Promissory Note”).</w:t>
      </w:r>
    </w:p>
    <w:p>
      <w:pPr>
        <w:spacing w:after="0" w:line="14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these condensed consolidated financial statements, we have issued an aggregate of 190,000 shares of Class A Common Stock to GEM in lieu of monthly payment obligations.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Banzai had no off-balance sheet arrangements as of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is not applicable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March 31, 2025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in our IT General Controls, adherence to the COSO Integrated Framework, and period end financial close and reporting process as described in our Annual Report on Form 10-K for the year ended December 31, 2024, as filed with the SEC on April 15, 2025 (the “2024 10-K").</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committed to the remediation of the material weaknesses as well as the continued improvement of our internal control over financial reporting. We are in the process of taking steps to remediate the identified material weaknesses and continue to evaluate our internal controls over financial reporting, as disclosed in the 2024 10-K.</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we continue our evaluation and improve our internal control over financial reporting, management may identify and take additional measures to address control deficiencies. We cannot assure you that we will be successful in remediating the material weaknesses in a timely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required by Rule 13a-15(d) of the Exchange Act, our management, including our principal executive officer and our principal financial officer, conducted an evaluation of the internal control over financial reporting to determine whether any changes occurred during the three months ended March 31, 2025, that have materially affected, or are reasonably likely to materially affect, our internal control over financial reporting. Based on that evaluation, our principal executive officer and principal financial officer concluded that the merger transaction with Vidello is considered a significant corporate event during the three months ended March 31, 2025.</w:t>
      </w:r>
    </w:p>
    <w:p>
      <w:pPr>
        <w:spacing w:after="0" w:line="183"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January 31, 2025, our company closed and completed a merger with Vidello Limited ("Vidello"), a private limited company registered in England and Wales, pursuant to an Merger Agreement (the "Vidello Merger Agreement"), dated December 19, 2024, by and among Vidello, and certain shareholders of Vidello (the "Vidello Shareholders"). As a result, there have been material changes to our internal control environment. Our management has begun to assess and adjust our internal control processes to accommodate the integration of systems, personnel, and financial reporting functions. We will work on implementing additional controls to address the combined entity’s financial reporting requirements, ensuring accuracy, reliability, and compliance. While we believe these adjustments will enhance our overall control framework, we continue to monitor and evaluate their effectiveness to maintain the highest standards of financial reporting integrity.</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than the changes noted above regarding our steps to remediate our material weaknesses and the Vidello merger, there were no other changes in our internal control over financial reporting (as the term is defined in Rules 13a-15(f) and 15d-15(f) under the Exchange Act) during the three months ended March 31, 2025 that have materially affected, or is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449"/>
        <w:spacing w:after="0" w:line="257"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212529"/>
        </w:rPr>
        <w:t>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w:t>
      </w:r>
    </w:p>
    <w:p>
      <w:pPr>
        <w:spacing w:after="0" w:line="1" w:lineRule="exact"/>
        <w:rPr>
          <w:sz w:val="20"/>
          <w:szCs w:val="20"/>
          <w:color w:val="auto"/>
        </w:rPr>
      </w:pPr>
    </w:p>
    <w:p>
      <w:pPr>
        <w:ind w:firstLine="8"/>
        <w:spacing w:after="0" w:line="260" w:lineRule="auto"/>
        <w:tabs>
          <w:tab w:leader="none" w:pos="261" w:val="left"/>
        </w:tabs>
        <w:numPr>
          <w:ilvl w:val="0"/>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thereof and/or Rule 506 of Regulation D promulgated thereunder, and/or Regulation S promulgated thereunder regarding offshore offers and sales. All recipients had adequate access, though their relationships with the Registrant, to information about the Registrant.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Debt Consolidation Plan</w:t>
      </w:r>
    </w:p>
    <w:p>
      <w:pPr>
        <w:spacing w:after="0" w:line="227" w:lineRule="exact"/>
        <w:rPr>
          <w:sz w:val="20"/>
          <w:szCs w:val="20"/>
          <w:color w:val="auto"/>
        </w:rPr>
      </w:pPr>
    </w:p>
    <w:p>
      <w:pPr>
        <w:jc w:val="both"/>
        <w:ind w:firstLine="809"/>
        <w:spacing w:after="0" w:line="282" w:lineRule="auto"/>
        <w:rPr>
          <w:sz w:val="20"/>
          <w:szCs w:val="20"/>
          <w:color w:val="auto"/>
        </w:rPr>
      </w:pPr>
      <w:r>
        <w:rPr>
          <w:rFonts w:ascii="Times New Roman" w:cs="Times New Roman" w:eastAsia="Times New Roman" w:hAnsi="Times New Roman"/>
          <w:sz w:val="18"/>
          <w:szCs w:val="18"/>
          <w:color w:val="auto"/>
        </w:rPr>
        <w:t>As of May 12, 2025 the Company has issued an aggregate of 1,597,944 Shares to the Creditors in exchange for the cancellation of an aggregate of $5,068,547 of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Hudson Global Ventures, LLC Consulting Services Agreement</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On January 3, 2025, the Company issued 150,000 restricted shares of its Common Stock, partially in exchange for the business advisory services outlined in the Consulting Agreement with Hudson Global Ventures, LLC, a Nevada limited liability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CP BF Pre-Funded Warrant Exercise</w:t>
      </w:r>
    </w:p>
    <w:p>
      <w:pPr>
        <w:spacing w:after="0" w:line="22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January 7, 2025, the Company issued 4 shares of Class A Common Stock for exercise of four (4) pre-funded warrants under the CP BF Pre-Funded Warrant, to CP BF.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Issuance to Executives</w:t>
      </w:r>
    </w:p>
    <w:p>
      <w:pPr>
        <w:spacing w:after="0" w:line="22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March 6, 2025, the Company issued 337,773 shares of Class A common stock related to RSUs issued to executives as part of the Company's fiscal 2024 bonus plan, following Board approvals.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Vidello</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Merger Agreement (the "Vidello Merger Agreement"), dated December 19, 2024, by and among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898,204 shares of Class A Common Stock (the "Share Consideration", together with the Cash Consideration, the "Vidello Closing Consideration").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of Class A Common Stock issued to Winterberry</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4, 2025 the Company issued 30,000 shares to Verista Partners, Inc., aka Winterberry Group, one of its Creditors, in exchange for the cancellation of a portion of the total outstanding debt, in the amount of $16,666, pursuant to the Debt Reorganization.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these terms are defined in Item 408(a)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gridSpan w:val="22"/>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92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Agreement and Plan of Merger, dated December 8, 2022, by and among Banzai, 7GC, First Merger Sub and Second Merger Sub</w:t>
              </w:r>
            </w:hyperlink>
          </w:p>
        </w:tc>
        <w:tc>
          <w:tcPr>
            <w:tcW w:w="560" w:type="dxa"/>
            <w:vAlign w:val="bottom"/>
            <w:gridSpan w:val="8"/>
          </w:tcPr>
          <w:p>
            <w:pPr>
              <w:spacing w:after="0"/>
              <w:rPr>
                <w:sz w:val="14"/>
                <w:szCs w:val="14"/>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by reference to Annex A-1 to the Registration Statement on Form S-4 filed on August 31,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Amendment to Agreement and Plan of Merger, dated August 4, 2023, by and among the Company and 7GC (incorporated by reference</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to Annex A-2 to the Registration Statement on Form S-4 filed on August 31,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Agreement and Plan of Merger, dated December 10, 2024, by and among Banzai International, Inc., Banzai Reel Acquisition, Inc.</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ClearDoc, Inc., and certain stockholders of ClearDoc, Inc. (incorporated by reference to Exhibit 2.1 to the Current Report on Form 8-K</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filed on December 19,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Acquisition Agreement, dated December 19, 2024, by and among Banzai International, Inc., Vidello Limited, and the Shareholders of</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Vidello Limited (incorporated by reference to Exhibit 2.1 to the Current Report on Form 8-K filed on December 20,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Agreement and Plan of Merger, dated January 22, 2025 by and between Banzai International, Inc. and Act-On Software, Inc.</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(incorporated by reference to the Current Report on Form 8-K filed on January 23, 2025)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Second Amended and Restated Certificate of Incorporation of the Company, dated December 14, 2023. (incorporated by reference to the</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Exhibit 3.1 to the 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Second Amended and Restated Bylaws of the Company, dated December 14, 2023 (incorporated by reference to the Exhibit 3.2 to the</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Third Amended and Restated Bylaws of the Company, dated March 3, 2025 (incorporated by reference to the Exhibit 3.2 to the Current</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Report on Form 8-K filed on March 4, 2025).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Amendment to Second Amended and Restated Certificate of Incorporation of the Company, dated September 11, 2024.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reference to the Exhibit 3.1 to the Current Report on Form 8-K filed on September 16,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Amendment to Second Amended and Restated Certificate of Incorporation of the Company, dated March 3, 2025.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reference to the Exhibit 3.1 to the Current Report on Form 8-K filed on March 4, 2025).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Specimen Class A Common Stock Certificate of the Company (incorporated by reference to the Exhibit 4.1 to the Current Report on</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Specimen Class B Common Stock Certificate of the Company (incorporated by reference to the Exhibit 4.2 to the Current Report on</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6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Specimen Warrant Certificate of the Company (incorporated by reference to the Exhibit 4.3 to the Current Report on Form 8-K filed on</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6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Warrant Agreement, dated December 22, 2020, by and between 7GC and Continental Stock Transfer &amp; Trust Company, as warrant</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agent (incorporated by reference to Exhibit 4.1 to the Current Report on Form 8-K filed by 7GC on December 28, 2020).</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600" w:type="dxa"/>
            <w:vAlign w:val="bottom"/>
            <w:tcBorders>
              <w:right w:val="single" w:sz="8" w:color="0000EE"/>
            </w:tcBorders>
            <w:gridSpan w:val="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Convertible Promissory Note, by and among Banzai and CP BF Lending, LLC (incorporated by reference to</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Exhibit 4.7 to the Registration Statement on Form S-4 filed by 7GC on August 30,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600" w:type="dxa"/>
            <w:vAlign w:val="bottom"/>
            <w:tcBorders>
              <w:right w:val="single" w:sz="8" w:color="0000EE"/>
            </w:tcBorders>
            <w:gridSpan w:val="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Subordinated Promissory Note, dated December 13, 2023, issued by the Company to Alco Investment Company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reference to the Exhibit 4.5 to the 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600" w:type="dxa"/>
            <w:vAlign w:val="bottom"/>
            <w:tcBorders>
              <w:right w:val="single" w:sz="8" w:color="0000EE"/>
            </w:tcBorders>
            <w:gridSpan w:val="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Warrant to Purchase Shares of Common Stock of Banzai International, Inc., dated December 15, 2023, issued by the Company to GEM</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Yield Bahamas Limited (incorporated by reference to the Exhibit 4.7 to the 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600" w:type="dxa"/>
            <w:vAlign w:val="bottom"/>
            <w:tcBorders>
              <w:right w:val="single" w:sz="8" w:color="0000EE"/>
            </w:tcBorders>
            <w:gridSpan w:val="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Promissory Note, dated as of December 14, 2023, issued by Banzai International, Inc. to YA II PN, LTD (incorporated by reference to</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Exhibit 10.2 to the Current Report on Form 8-K filed on December 18,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Promissory Note, dated as of February 5, 2024, issued by Banzai International, Inc. to YA II PN, LTD (incorporated by reference to the</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Exhibit 4.11 to the Registration Statement on Form S-1 filed on February 5,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600" w:type="dxa"/>
            <w:vAlign w:val="bottom"/>
            <w:tcBorders>
              <w:right w:val="single" w:sz="8" w:color="0000EE"/>
            </w:tcBorders>
            <w:gridSpan w:val="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Promissory Note Agreement, dated as of March 26, 2024, issued by Banzai International, Inc. to YA II PN, LTD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20" w:type="dxa"/>
            <w:vAlign w:val="bottom"/>
            <w:tcBorders>
              <w:right w:val="single" w:sz="8" w:color="0000FF"/>
            </w:tcBorders>
            <w:gridSpan w:val="9"/>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reference to Exhibit 4.10 to the Annual Report on Form 10-K filed on April 15, 2025).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20" w:type="dxa"/>
            <w:vAlign w:val="bottom"/>
            <w:tcBorders>
              <w:right w:val="single" w:sz="8" w:color="0000EE"/>
            </w:tcBorders>
            <w:gridSpan w:val="9"/>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Certificate of Designation of Series FE Preferred Stock (incorporated by reference to the 8-K filed on December 19,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720" w:type="dxa"/>
            <w:vAlign w:val="bottom"/>
            <w:tcBorders>
              <w:right w:val="single" w:sz="8" w:color="0000FF"/>
            </w:tcBorders>
            <w:gridSpan w:val="1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Letter Agreement, dated December 22, 2020, by and among 7GC, its officers, its directors and the 7GC Sponsor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20" w:type="dxa"/>
            <w:vAlign w:val="bottom"/>
            <w:tcBorders>
              <w:right w:val="single" w:sz="8" w:color="0000FF"/>
            </w:tcBorders>
            <w:gridSpan w:val="1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reference to Exhibit 10.1 to the Current Report on Form 8-K filed by 7GC on December 28, 2020).</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720" w:type="dxa"/>
            <w:vAlign w:val="bottom"/>
            <w:tcBorders>
              <w:right w:val="single" w:sz="8" w:color="0000EE"/>
            </w:tcBorders>
            <w:gridSpan w:val="1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Private Placement Warrants Purchase Agreement, dated December 22, 2020, by and between 7GC and the 7GC Sponsor (incorporated</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40" w:type="dxa"/>
            <w:vAlign w:val="bottom"/>
            <w:gridSpan w:val="1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by reference to Exhibit 10.5 to the Current Report on Form 8-K filed by 7GC on December 15, 2020).</w:t>
              </w:r>
            </w:hyperlink>
          </w:p>
        </w:tc>
      </w:tr>
      <w:tr>
        <w:trPr>
          <w:trHeight w:val="236"/>
        </w:trPr>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Borders>
              <w:top w:val="single" w:sz="8" w:color="0000EE"/>
            </w:tcBorders>
            <w:gridSpan w:val="6"/>
          </w:tcPr>
          <w:p>
            <w:pPr>
              <w:jc w:val="right"/>
              <w:ind w:right="113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40" w:type="dxa"/>
            <w:vAlign w:val="bottom"/>
            <w:gridSpan w:val="34"/>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Amended and Restated Registration Rights Agreement, dated December 14, 2023, by and among the Company, the 7GC Sponsor,</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certain stockholders of the Company (incorporated by reference to Exhibit 10.6 to the Current Report on Form 8-K filed on December</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60" w:type="dxa"/>
            <w:vAlign w:val="bottom"/>
            <w:gridSpan w:val="2"/>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20, 2023).</w:t>
              </w:r>
            </w:hyperlink>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Lock-Up Agreement, by and between the Company and certain stockholders and executives of Legacy Banzai (incorporated by</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reference to Annex D to the Registration Statement on Form S-4 filed on August 31,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Banzai International, Inc. 2023 Equity Incentive Plan (incorporated by reference to Exhibit 99.1 to the Registration Statement on Form</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S-8 filed on March 25,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Banzai International, Inc. 2023 Employee Stock Purchase Plan (incorporated by reference to Exhibit 99.2 to the Registration Statement</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on Form S-8 filed on March 25,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Loan Agreement, dated February 19, 2021, by and among the Company, Joseph P. Davy as an Individual Guarantor, Demio, Inc., as an</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Individual Guarantor and CP BF Lending, LLC, as Lender (incorporated by reference to Exhibit 10.16 to the Registration Statement on</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S-4 filed by 7GC on August 30,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Forbearance Agreement, dated August 24, 2023, by and among the Company, the guarantors party to the Loan Agreement (as defined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therein), and CP BF Lending, LLC (incorporated by reference to Exhibit 10.18 to the Registration Statement on Form S-4 filed by 7GC</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on August 30,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Promissory Note, dated October 3, 2023, issued by 7GC to the 7GC Sponsor (incorporated by reference to Exhibit 10.1 to the Current</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Report on Form 8-K filed by 7GC on October 4,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Standby Equity Purchase Agreement, dated as of December 14, 2023, by and among the Company, YA II PN, LTD., and Banzai</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Operating Co LLC (f/k/a Banzai International, Inc.). (incorporated by reference to Exhibit 10.1 to the Current Report on Form 8-K filed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on December 18,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Registration Rights Agreement, dated as of December 14, 2023, by and between the Company and YA II PN, LTD. (incorporated by</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reference to Exhibit 10.3 to the Current Report on Form 8-K filed on December 18,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9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Share Transfer Agreement, dated December 13, 2023, by and among the Company, the 7GC Sponsor and Alco Investment Company</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(incorporated by reference to Exhibit 10.5 to the Current Report on Form 8-K filed on December 20,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9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Indemnification Agreement by and between the Company and its directors and officers (incorporated by reference to Exhibit</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the Current Report on Form 8-K filed on December 20,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9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Amendment to Fee Reduction Agreement, dated December 28, 2023, by and between the Company and Cantor Fitzgerald (incorporated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by reference to the Exhibit 10.26 to the Registration Statement on Form S-1 filed on February 5,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9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7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Settlement Agreement, dated February 5, 2024, by and between the Company, GEM Global Yield LLC SCS and GEM Yield Bahamas</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Limited (incorporated by reference to the Exhibit 10.27 of Amendment No. 1 to the Registration Statement on Form S-1 filed on</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February 5,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Unsecured Promissory Note, dated February 5, 2024, issued by the Company to GEM Global Yield LLC SCS (incorporated by</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reference to Exhibit 10.4 to the Current Report on Form 8-K filed on February 8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70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Supplemental Agreement, dated February 5, 2024, by and between the Company and YA II PN, LTD (incorporated by reference to</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Exhibit 10.29 of Amendment No. 1 to the Registration Statement on Form S-1 filed on February 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Addendum to Letter Agreements, dated February 5, 2024, by and between the Company and Roth Capital Partners, LLC (incorporated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by reference to the Exhibit 10.30 of Amendment No. 1 to the Registration Statement on Form S-1 filed on February 5,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9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 of Convertible Promissory Note issued to YA II PN, LTD (incorporated by reference to exhibit 10.1 to the Current Report on</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 8-K filed on February 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EE"/>
            </w:tcBorders>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Second Amendment to Loan Agreement by and among the Company, Demio Holding Inc., Banzai Operating Co. LLC and CP BF</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Lending, LLC, as Lender dated as of September 23, 2024 (incorporated by reference to the Exhibit 10.19 to the Current Report on Form</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8-K/A filed on September 27,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Debt Repayment Agreement, dated as of May 3, 2024, by and among the Company and Yorkville (incorporated by reference to Exhibit</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1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Current Report on Form 8-K filed on May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10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Amended and Restated Debt Repayment Agreement, dated as of May 22, 2024, by and between the Company and Yorkville</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5360" w:type="dxa"/>
            <w:vAlign w:val="bottom"/>
            <w:tcBorders>
              <w:left w:val="single" w:sz="8" w:color="0000FF"/>
            </w:tcBorders>
            <w:gridSpan w:val="11"/>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(incorporated by reference to Exhibit 4.12 to the Registration Statement filed on Form S-1 on September 19,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5360" w:type="dxa"/>
            <w:vAlign w:val="bottom"/>
            <w:tcBorders>
              <w:left w:val="single" w:sz="8" w:color="0000FF"/>
            </w:tcBorders>
            <w:gridSpan w:val="11"/>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Form of Securities Purchase Agreement (incorporated by reference to Exhibit 10.1 to the Current Report on Form 8-K filed on May 28,</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64">
              <w:r>
                <w:rPr>
                  <w:rFonts w:ascii="Times New Roman" w:cs="Times New Roman" w:eastAsia="Times New Roman" w:hAnsi="Times New Roman"/>
                  <w:sz w:val="18"/>
                  <w:szCs w:val="18"/>
                  <w:color w:val="0000FF"/>
                  <w:w w:val="90"/>
                </w:rPr>
                <w:t>2024).</w:t>
              </w:r>
            </w:hyperlink>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of Securities Purchase Agreement (incorporated by reference to the Exhibit 10.1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5360" w:type="dxa"/>
            <w:vAlign w:val="bottom"/>
            <w:tcBorders>
              <w:left w:val="single" w:sz="8" w:color="0000FF"/>
            </w:tcBorders>
            <w:gridSpan w:val="11"/>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September 27,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5360" w:type="dxa"/>
            <w:vAlign w:val="bottom"/>
            <w:tcBorders>
              <w:left w:val="single" w:sz="8" w:color="0000EE"/>
            </w:tcBorders>
            <w:gridSpan w:val="11"/>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Lock-up Agreement, dated as of September 20, 2024, by and between Banzai International, Inc. and Alco Investment Company</w:t>
              </w:r>
            </w:hyperlink>
          </w:p>
        </w:tc>
      </w:tr>
      <w:tr>
        <w:trPr>
          <w:trHeight w:val="20"/>
        </w:trPr>
        <w:tc>
          <w:tcPr>
            <w:tcW w:w="1400" w:type="dxa"/>
            <w:vAlign w:val="bottom"/>
          </w:tcPr>
          <w:p>
            <w:pPr>
              <w:spacing w:after="0" w:line="20" w:lineRule="exact"/>
              <w:rPr>
                <w:sz w:val="1"/>
                <w:szCs w:val="1"/>
                <w:color w:val="auto"/>
              </w:rPr>
            </w:pPr>
          </w:p>
        </w:tc>
        <w:tc>
          <w:tcPr>
            <w:tcW w:w="6880" w:type="dxa"/>
            <w:vAlign w:val="bottom"/>
            <w:gridSpan w:val="15"/>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(incorporated by reference to the Exhibit 10.21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880" w:type="dxa"/>
            <w:vAlign w:val="bottom"/>
            <w:gridSpan w:val="15"/>
            <w:shd w:val="clear" w:color="auto" w:fill="0000FF"/>
          </w:tcPr>
          <w:p>
            <w:pPr>
              <w:spacing w:after="0" w:line="20" w:lineRule="exact"/>
              <w:rPr>
                <w:sz w:val="1"/>
                <w:szCs w:val="1"/>
                <w:color w:val="auto"/>
              </w:rPr>
            </w:pPr>
          </w:p>
        </w:tc>
        <w:tc>
          <w:tcPr>
            <w:tcW w:w="1260" w:type="dxa"/>
            <w:vAlign w:val="bottom"/>
            <w:tcBorders>
              <w:right w:val="single" w:sz="8" w:color="0000EE"/>
            </w:tcBorders>
            <w:gridSpan w:val="4"/>
            <w:shd w:val="clear" w:color="auto" w:fill="0000FF"/>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Registration Rights Agreement, by and between Banzai International, Inc. and Alco Investment Company (incorporated by</w:t>
              </w:r>
            </w:hyperlink>
          </w:p>
        </w:tc>
      </w:tr>
      <w:tr>
        <w:trPr>
          <w:trHeight w:val="20"/>
        </w:trPr>
        <w:tc>
          <w:tcPr>
            <w:tcW w:w="1400" w:type="dxa"/>
            <w:vAlign w:val="bottom"/>
          </w:tcPr>
          <w:p>
            <w:pPr>
              <w:spacing w:after="0" w:line="20" w:lineRule="exact"/>
              <w:rPr>
                <w:sz w:val="1"/>
                <w:szCs w:val="1"/>
                <w:color w:val="auto"/>
              </w:rPr>
            </w:pPr>
          </w:p>
        </w:tc>
        <w:tc>
          <w:tcPr>
            <w:tcW w:w="6880" w:type="dxa"/>
            <w:vAlign w:val="bottom"/>
            <w:gridSpan w:val="15"/>
            <w:shd w:val="clear" w:color="auto" w:fill="0000FF"/>
          </w:tcPr>
          <w:p>
            <w:pPr>
              <w:spacing w:after="0" w:line="20" w:lineRule="exact"/>
              <w:rPr>
                <w:sz w:val="1"/>
                <w:szCs w:val="1"/>
                <w:color w:val="auto"/>
              </w:rPr>
            </w:pPr>
          </w:p>
        </w:tc>
        <w:tc>
          <w:tcPr>
            <w:tcW w:w="2620" w:type="dxa"/>
            <w:vAlign w:val="bottom"/>
            <w:gridSpan w:val="11"/>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reference to the Exhibit 10.20 to the Current Report on Form 8-K filed on September 25, 2024).</w:t>
              </w:r>
            </w:hyperlink>
          </w:p>
        </w:tc>
      </w:tr>
      <w:tr>
        <w:trPr>
          <w:trHeight w:val="236"/>
        </w:trPr>
        <w:tc>
          <w:tcPr>
            <w:tcW w:w="1400" w:type="dxa"/>
            <w:vAlign w:val="bottom"/>
          </w:tcPr>
          <w:p>
            <w:pPr>
              <w:spacing w:after="0"/>
              <w:rPr>
                <w:sz w:val="20"/>
                <w:szCs w:val="20"/>
                <w:color w:val="auto"/>
              </w:rPr>
            </w:pPr>
          </w:p>
        </w:tc>
        <w:tc>
          <w:tcPr>
            <w:tcW w:w="4620" w:type="dxa"/>
            <w:vAlign w:val="bottom"/>
            <w:tcBorders>
              <w:top w:val="single" w:sz="8" w:color="0000FF"/>
            </w:tcBorders>
            <w:gridSpan w:val="11"/>
          </w:tcPr>
          <w:p>
            <w:pPr>
              <w:jc w:val="right"/>
              <w:ind w:right="300"/>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Borders>
              <w:top w:val="single" w:sz="8" w:color="0000FF"/>
            </w:tcBorders>
          </w:tcPr>
          <w:p>
            <w:pPr>
              <w:spacing w:after="0"/>
              <w:rPr>
                <w:sz w:val="20"/>
                <w:szCs w:val="20"/>
                <w:color w:val="auto"/>
              </w:rPr>
            </w:pPr>
          </w:p>
        </w:tc>
        <w:tc>
          <w:tcPr>
            <w:tcW w:w="12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4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8"/>
              </w:rPr>
              <w:t>10.27</w:t>
            </w:r>
          </w:p>
        </w:tc>
        <w:tc>
          <w:tcPr>
            <w:tcW w:w="9840" w:type="dxa"/>
            <w:vAlign w:val="bottom"/>
            <w:gridSpan w:val="26"/>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Securities Purchase Agreement, dated as of September 23, 2024, by and between Banzai International, Inc. and CP BF Lending, LLC</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(incorporated by reference to the Exhibit 10.17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984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Lock-up Agreement, dated as of September 23, 2024, by and between Banzai International, Inc. and CP BF Lending, LLC (incorporated</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by reference to the Exhibit 10.25 to the Current Report on Form 8-K filed on September 25, 2024)</w:t>
              </w:r>
              <w:r>
                <w:rPr>
                  <w:rFonts w:ascii="Times New Roman" w:cs="Times New Roman" w:eastAsia="Times New Roman" w:hAnsi="Times New Roman"/>
                  <w:sz w:val="18"/>
                  <w:szCs w:val="18"/>
                  <w:color w:val="000000"/>
                </w:rPr>
                <w:t>.</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984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Form of Registration Rights Agreement, by and between Banzai International, Inc. and CP BF Lending, LLC (incorporated by reference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to the Exhibit 10.24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Form of Registration Rights Agreement (incorporated by reference to the Exhibit 10.2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September 27,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Securities Purchase Agreement, dated as of September 20, 2024, by and between Banzai International, Inc. and Alco Investment</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Company (incorporated by reference to the Registration Statement on Form S-1 filed with the SEC 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984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Repayment Agreement with Perkins Coie, LLP (incorporated by reference to the Registration Statement on Form S-1 filed with the SEC</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on October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Amended and Restated Repayment Agreement with J.V.B Financial Group, LLC (incorporated by reference to the Registration</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Statement on Form S-1 filed with the SEC 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984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Investor Relations Consulting Agreement with MZHCI, LLC (incorporated by reference to the Registration Statement on Form S-1 filed</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with the SEC 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Side Letter to the Loan Agreement with CP BF Lending, LLC (incorporated by reference to the Exhibit 10.6 to the Current Report on</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Floor Price Adjustment Agreement with Yorkville Advisors (incorporated by reference to the Registration Statement on Form S-1 filed</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with the SEC on October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Repayment Agreement with Cooley LLP (incorporated by reference to the Registration Statement on Form S-1 filed with the SEC on</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gridSpan w:val="4"/>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October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10.38</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Settlement Letter with CohnReznick LLP (incorporated by reference to the Registration Statement on Form S-1 filed with the SEC on</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gridSpan w:val="4"/>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October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10.39</w:t>
            </w:r>
          </w:p>
        </w:tc>
        <w:tc>
          <w:tcPr>
            <w:tcW w:w="984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Repayment Agreement with Sidley Austin LLP (incorporated by reference to the Registration Statement on Form S-1 filed with the SEC</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gridSpan w:val="4"/>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10.40</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Repayment Agreement with Donnelley Financial LLC (incorporated by reference to the Registration Statement on Form S-1 filed with</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gridSpan w:val="4"/>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the SEC 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10.41</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Repayment Agreement with Verista Partners, Inc. (incorporated by reference to the Registration Statement on Form S-1 filed with the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tcBorders>
              <w:right w:val="single" w:sz="8" w:color="0000FF"/>
            </w:tcBorders>
            <w:gridSpan w:val="5"/>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SEC 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10.42</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Consulting Agreement dated as of September 26, 2024 by and between the Company and Hudson Global Ventures, LLC (incorporated</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by reference to the Registration Statement on Form S-1 filed with the SEC on October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Form of Registration Rights Agreement (incorporated by reference to Exhibit 10.1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December 10,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10.44</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Form of Pre-Funded Warrant (incorporated by reference to Exhibit 10.2 to the Current Report on Form 8-K filed on December 10,</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77"/>
              </w:rPr>
            </w:pPr>
            <w:hyperlink r:id="rId287">
              <w:r>
                <w:rPr>
                  <w:rFonts w:ascii="Times New Roman" w:cs="Times New Roman" w:eastAsia="Times New Roman" w:hAnsi="Times New Roman"/>
                  <w:sz w:val="18"/>
                  <w:szCs w:val="18"/>
                  <w:color w:val="0000FF"/>
                  <w:w w:val="77"/>
                </w:rPr>
                <w:t>2024).</w:t>
              </w:r>
            </w:hyperlink>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10.45</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Form of Subscription Booklet (incorporated by reference to the Current Report on Form 8-K filed on 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10.46</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Form of Pre-Funded Warrant (incorporated by reference to the Current Report on Form 8-K filed on 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10.47</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Voting and Support Agreement, dated January 22, 2025 by and between Banzai International, Inc and Joseph Davy (incorporated by</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reference to the Current Report on Form 8-K filed on 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10.48</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of Share Consideration Escrow Agreement (incorporated by reference to Exhibit 10.4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10.49</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Form of Registration Rights Agreement (incorporated by reference to Exhibit 10.5 to the Current Report on Form 8-K filed on January</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FF"/>
                <w:w w:val="92"/>
              </w:rPr>
            </w:pPr>
            <w:hyperlink r:id="rId292">
              <w:r>
                <w:rPr>
                  <w:rFonts w:ascii="Times New Roman" w:cs="Times New Roman" w:eastAsia="Times New Roman" w:hAnsi="Times New Roman"/>
                  <w:sz w:val="18"/>
                  <w:szCs w:val="18"/>
                  <w:color w:val="0000FF"/>
                  <w:w w:val="92"/>
                </w:rPr>
                <w:t>23, 2025).</w:t>
              </w:r>
            </w:hyperlink>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10.50</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Voting and Support Agreement, dated December 10, 2024, by and between Joseph P. Davy and Banzai International Inc. (incorporated</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80" w:type="dxa"/>
            <w:vAlign w:val="bottom"/>
            <w:tcBorders>
              <w:left w:val="single" w:sz="8" w:color="0000FF"/>
              <w:right w:val="single" w:sz="8" w:color="0000FF"/>
            </w:tcBorders>
            <w:gridSpan w:val="11"/>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by reference to Exhibit 10.3 to the Current Report on Form 8-K filed on December 10,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80" w:type="dxa"/>
            <w:vAlign w:val="bottom"/>
            <w:tcBorders>
              <w:left w:val="single" w:sz="8" w:color="0000FF"/>
              <w:right w:val="single" w:sz="8" w:color="0000FF"/>
            </w:tcBorders>
            <w:gridSpan w:val="11"/>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00" w:type="dxa"/>
            <w:vAlign w:val="bottom"/>
            <w:tcBorders>
              <w:left w:val="single" w:sz="8" w:color="0000EE"/>
            </w:tcBorders>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10.51</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Form of Lock-Up Agreement (incorporated by reference to exhibit 10.1 to the Current Report on Form 8-K filed on December 20,</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77"/>
              </w:rPr>
            </w:pPr>
            <w:hyperlink r:id="rId294">
              <w:r>
                <w:rPr>
                  <w:rFonts w:ascii="Times New Roman" w:cs="Times New Roman" w:eastAsia="Times New Roman" w:hAnsi="Times New Roman"/>
                  <w:sz w:val="18"/>
                  <w:szCs w:val="18"/>
                  <w:color w:val="0000FF"/>
                  <w:w w:val="77"/>
                </w:rPr>
                <w:t>2024).</w:t>
              </w:r>
            </w:hyperlink>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10.52</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Form of Pre-Funded Warrant (incorporated by reference to exhibit 10.2 to the Current Report on Form 8-K filed on December 20,</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77"/>
              </w:rPr>
            </w:pPr>
            <w:hyperlink r:id="rId295">
              <w:r>
                <w:rPr>
                  <w:rFonts w:ascii="Times New Roman" w:cs="Times New Roman" w:eastAsia="Times New Roman" w:hAnsi="Times New Roman"/>
                  <w:sz w:val="18"/>
                  <w:szCs w:val="18"/>
                  <w:color w:val="0000FF"/>
                  <w:w w:val="77"/>
                </w:rPr>
                <w:t>2024).</w:t>
              </w:r>
            </w:hyperlink>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80" w:type="dxa"/>
            <w:vAlign w:val="bottom"/>
            <w:tcBorders>
              <w:left w:val="single" w:sz="8" w:color="0000EE"/>
            </w:tcBorders>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10.53</w:t>
            </w: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Voting and Support Agreement, dated December 19, 2024, by and between Banzai International Inc., and Joseph P. Davy (incorporated</w:t>
              </w:r>
            </w:hyperlink>
          </w:p>
        </w:tc>
      </w:tr>
      <w:tr>
        <w:trPr>
          <w:trHeight w:val="20"/>
        </w:trPr>
        <w:tc>
          <w:tcPr>
            <w:tcW w:w="1400" w:type="dxa"/>
            <w:vAlign w:val="bottom"/>
          </w:tcPr>
          <w:p>
            <w:pPr>
              <w:spacing w:after="0" w:line="20" w:lineRule="exact"/>
              <w:rPr>
                <w:sz w:val="1"/>
                <w:szCs w:val="1"/>
                <w:color w:val="auto"/>
              </w:rPr>
            </w:pPr>
          </w:p>
        </w:tc>
        <w:tc>
          <w:tcPr>
            <w:tcW w:w="6180" w:type="dxa"/>
            <w:vAlign w:val="bottom"/>
            <w:tcBorders>
              <w:right w:val="single" w:sz="8" w:color="0000FF"/>
            </w:tcBorders>
            <w:gridSpan w:val="1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by reference to exhibit 10.3 to the Current Report on Form 8-K filed on December 20,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1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10.54</w:t>
            </w:r>
          </w:p>
        </w:tc>
        <w:tc>
          <w:tcPr>
            <w:tcW w:w="984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Closing Letter Agreement, dated January 24, 2025, by and among Banzai International, Inc., Vidello Limited and certain shareholders of</w:t>
              </w:r>
            </w:hyperlink>
          </w:p>
        </w:tc>
      </w:tr>
      <w:tr>
        <w:trPr>
          <w:trHeight w:val="20"/>
        </w:trPr>
        <w:tc>
          <w:tcPr>
            <w:tcW w:w="1400" w:type="dxa"/>
            <w:vAlign w:val="bottom"/>
          </w:tcPr>
          <w:p>
            <w:pPr>
              <w:spacing w:after="0" w:line="20" w:lineRule="exact"/>
              <w:rPr>
                <w:sz w:val="1"/>
                <w:szCs w:val="1"/>
                <w:color w:val="auto"/>
              </w:rPr>
            </w:pPr>
          </w:p>
        </w:tc>
        <w:tc>
          <w:tcPr>
            <w:tcW w:w="8780" w:type="dxa"/>
            <w:vAlign w:val="bottom"/>
            <w:tcBorders>
              <w:right w:val="single" w:sz="8" w:color="0000FF"/>
            </w:tcBorders>
            <w:gridSpan w:val="18"/>
            <w:shd w:val="clear" w:color="auto" w:fill="0000FF"/>
          </w:tcPr>
          <w:p>
            <w:pPr>
              <w:spacing w:after="0" w:line="20" w:lineRule="exact"/>
              <w:rPr>
                <w:sz w:val="1"/>
                <w:szCs w:val="1"/>
                <w:color w:val="auto"/>
              </w:rPr>
            </w:pPr>
          </w:p>
        </w:tc>
        <w:tc>
          <w:tcPr>
            <w:tcW w:w="1060" w:type="dxa"/>
            <w:vAlign w:val="bottom"/>
            <w:gridSpan w:val="8"/>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6"/>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Vidello Limited (incorporated by reference to exhibit 10.3 to the Current Report on Form 8-K filed on January 31, 2025).</w:t>
              </w:r>
            </w:hyperlink>
          </w:p>
        </w:tc>
      </w:tr>
      <w:tr>
        <w:trPr>
          <w:trHeight w:val="236"/>
        </w:trPr>
        <w:tc>
          <w:tcPr>
            <w:tcW w:w="1400" w:type="dxa"/>
            <w:vAlign w:val="bottom"/>
          </w:tcPr>
          <w:p>
            <w:pPr>
              <w:spacing w:after="0"/>
              <w:rPr>
                <w:sz w:val="20"/>
                <w:szCs w:val="20"/>
                <w:color w:val="auto"/>
              </w:rPr>
            </w:pPr>
          </w:p>
        </w:tc>
        <w:tc>
          <w:tcPr>
            <w:tcW w:w="4700" w:type="dxa"/>
            <w:vAlign w:val="bottom"/>
            <w:tcBorders>
              <w:top w:val="single" w:sz="8" w:color="0000FF"/>
            </w:tcBorders>
            <w:gridSpan w:val="10"/>
          </w:tcPr>
          <w:p>
            <w:pPr>
              <w:jc w:val="right"/>
              <w:ind w:right="380"/>
              <w:spacing w:after="0"/>
              <w:rPr>
                <w:sz w:val="20"/>
                <w:szCs w:val="20"/>
                <w:color w:val="auto"/>
              </w:rPr>
            </w:pPr>
            <w:r>
              <w:rPr>
                <w:rFonts w:ascii="Times New Roman" w:cs="Times New Roman" w:eastAsia="Times New Roman" w:hAnsi="Times New Roman"/>
                <w:sz w:val="18"/>
                <w:szCs w:val="18"/>
                <w:color w:val="auto"/>
              </w:rPr>
              <w:t>69</w:t>
            </w:r>
          </w:p>
        </w:tc>
        <w:tc>
          <w:tcPr>
            <w:tcW w:w="500" w:type="dxa"/>
            <w:vAlign w:val="bottom"/>
            <w:tcBorders>
              <w:top w:val="single" w:sz="8" w:color="0000FF"/>
            </w:tcBorders>
          </w:tcPr>
          <w:p>
            <w:pPr>
              <w:spacing w:after="0"/>
              <w:rPr>
                <w:sz w:val="20"/>
                <w:szCs w:val="20"/>
                <w:color w:val="auto"/>
              </w:rPr>
            </w:pPr>
          </w:p>
        </w:tc>
        <w:tc>
          <w:tcPr>
            <w:tcW w:w="9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4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4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954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r>
      <w:tr>
        <w:trPr>
          <w:trHeight w:val="21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 ***</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400" w:type="dxa"/>
            <w:vAlign w:val="bottom"/>
          </w:tcPr>
          <w:p>
            <w:pPr>
              <w:spacing w:after="0"/>
              <w:rPr>
                <w:sz w:val="18"/>
                <w:szCs w:val="18"/>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 ****</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 ***</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360" w:hanging="1248"/>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360" w:hanging="1248"/>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360" w:hanging="1248"/>
        <w:spacing w:after="0"/>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9" w:lineRule="exact"/>
        <w:rPr>
          <w:sz w:val="20"/>
          <w:szCs w:val="20"/>
          <w:color w:val="auto"/>
        </w:rPr>
      </w:pPr>
    </w:p>
    <w:p>
      <w:pPr>
        <w:ind w:left="1360" w:right="240" w:hanging="1248"/>
        <w:spacing w:after="0" w:line="250" w:lineRule="auto"/>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ind w:left="1360" w:right="400" w:hanging="1248"/>
        <w:spacing w:after="0" w:line="250" w:lineRule="auto"/>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Instance Document and Cover Page Interactive Data File do not appear in the Interactive Data File because their XBRL tags are embedded within the Inline XBRL document.</w:t>
      </w:r>
    </w:p>
    <w:p>
      <w:pPr>
        <w:ind w:left="1360" w:hanging="1248"/>
        <w:spacing w:after="0"/>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 on May 15, 2025.</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25" w:lineRule="exact"/>
        <w:rPr>
          <w:sz w:val="20"/>
          <w:szCs w:val="20"/>
          <w:color w:val="auto"/>
        </w:rPr>
      </w:pPr>
    </w:p>
    <w:p>
      <w:pPr>
        <w:spacing w:after="0"/>
        <w:tabs>
          <w:tab w:leader="none" w:pos="5660" w:val="left"/>
          <w:tab w:leader="none" w:pos="806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2">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Davy, certify that:</w:t>
      </w:r>
    </w:p>
    <w:p>
      <w:pPr>
        <w:spacing w:after="0" w:line="225"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thse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Alvin Yip,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Banzai International, Inc. (the “Company”) for the quarter ended March 31, 2025, as filed with the Securities and Exchange Commission on or about the date hereof (the “Report”), I, Joseph Davy, Chief Executive Officer of the Company, certify, pursuant to 18 U.S.C. Section 1350, as adopted pursuant to Section 906 of the Sarbanes-Oxley Act of 2002, that:</w:t>
      </w:r>
    </w:p>
    <w:p>
      <w:pPr>
        <w:spacing w:after="0" w:line="28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560" w:val="left"/>
          <w:tab w:leader="none" w:pos="80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Banzai International, Inc. (the “Company”) for the quarter ended March 31, 2025, as filed with the Securities and Exchange Commission on or about the date hereof (the “Report”), I, Alvin Yip, Interim Chief Financial Officer of the Company, certify, pursuant to 18 U.S.C. Section 1350, as adopted pursuant to Section 906 of the Sarbanes-Oxley Act of 2002, that:</w:t>
      </w:r>
    </w:p>
    <w:p>
      <w:pPr>
        <w:spacing w:after="0" w:line="284"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560" w:val="left"/>
          <w:tab w:leader="none" w:pos="81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Roman"/>
      <w:start w:val="1"/>
    </w:lvl>
  </w:abstractNum>
  <w:abstractNum w:abstractNumId="4">
    <w:nsid w:val="431BD7B7"/>
    <w:multiLevelType w:val="hybridMultilevel"/>
    <w:lvl w:ilvl="0">
      <w:lvlJc w:val="left"/>
      <w:lvlText w:val="(%1)"/>
      <w:numFmt w:val="decimal"/>
      <w:start w:val="360"/>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Roman"/>
      <w:start w:val="1"/>
    </w:lvl>
  </w:abstractNum>
  <w:abstractNum w:abstractNumId="8">
    <w:nsid w:val="62BBD95A"/>
    <w:multiLevelType w:val="hybridMultilevel"/>
    <w:lvl w:ilvl="0">
      <w:lvlJc w:val="left"/>
      <w:lvlText w:val="1"/>
      <w:numFmt w:val="bullet"/>
      <w:start w:val="1"/>
    </w:lvl>
  </w:abstractNum>
  <w:abstractNum w:abstractNumId="9">
    <w:nsid w:val="436C6125"/>
    <w:multiLevelType w:val="hybridMultilevel"/>
    <w:lvl w:ilvl="0">
      <w:lvlJc w:val="left"/>
      <w:lvlText w:val="1"/>
      <w:numFmt w:val="bullet"/>
      <w:start w:val="1"/>
    </w:lvl>
  </w:abstractNum>
  <w:abstractNum w:abstractNumId="10">
    <w:nsid w:val="628C895D"/>
    <w:multiLevelType w:val="hybridMultilevel"/>
    <w:lvl w:ilvl="0">
      <w:lvlJc w:val="left"/>
      <w:lvlText w:val="2"/>
      <w:numFmt w:val="bullet"/>
      <w:start w:val="1"/>
    </w:lvl>
  </w:abstractNum>
  <w:abstractNum w:abstractNumId="11">
    <w:nsid w:val="333AB105"/>
    <w:multiLevelType w:val="hybridMultilevel"/>
    <w:lvl w:ilvl="0">
      <w:lvlJc w:val="left"/>
      <w:lvlText w:val="(%1)"/>
      <w:numFmt w:val="lowerRoman"/>
      <w:start w:val="2"/>
    </w:lvl>
  </w:abstractNum>
  <w:abstractNum w:abstractNumId="12">
    <w:nsid w:val="721DA317"/>
    <w:multiLevelType w:val="hybridMultilevel"/>
    <w:lvl w:ilvl="0">
      <w:lvlJc w:val="left"/>
      <w:lvlText w:val="(%1)"/>
      <w:numFmt w:val="decimal"/>
      <w:start w:val="360"/>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360"/>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98" Type="http://schemas.openxmlformats.org/officeDocument/2006/relationships/image" Target="media/image216.png"/><Relationship Id="rId299" Type="http://schemas.openxmlformats.org/officeDocument/2006/relationships/image" Target="media/image217.png"/><Relationship Id="rId300" Type="http://schemas.openxmlformats.org/officeDocument/2006/relationships/image" Target="media/image218.png"/><Relationship Id="rId301" Type="http://schemas.openxmlformats.org/officeDocument/2006/relationships/image" Target="media/image219.png"/><Relationship Id="rId302" Type="http://schemas.openxmlformats.org/officeDocument/2006/relationships/image" Target="media/image220.png"/><Relationship Id="rId303" Type="http://schemas.openxmlformats.org/officeDocument/2006/relationships/image" Target="media/image221.png"/><Relationship Id="rId304" Type="http://schemas.openxmlformats.org/officeDocument/2006/relationships/image" Target="media/image222.png"/><Relationship Id="rId305" Type="http://schemas.openxmlformats.org/officeDocument/2006/relationships/image" Target="media/image223.png"/><Relationship Id="rId306" Type="http://schemas.openxmlformats.org/officeDocument/2006/relationships/image" Target="media/image224.png"/><Relationship Id="rId307" Type="http://schemas.openxmlformats.org/officeDocument/2006/relationships/image" Target="media/image225.png"/><Relationship Id="rId308" Type="http://schemas.openxmlformats.org/officeDocument/2006/relationships/image" Target="media/image226.png"/><Relationship Id="rId309" Type="http://schemas.openxmlformats.org/officeDocument/2006/relationships/image" Target="media/image227.png"/><Relationship Id="rId310" Type="http://schemas.openxmlformats.org/officeDocument/2006/relationships/image" Target="media/image228.png"/><Relationship Id="rId311" Type="http://schemas.openxmlformats.org/officeDocument/2006/relationships/image" Target="media/image229.png"/><Relationship Id="rId219" Type="http://schemas.openxmlformats.org/officeDocument/2006/relationships/hyperlink" Target="https://www.sec.gov/Archives/edgar/data/1826011/000119312523225201/d441541ds4.htm#rom441541_40" TargetMode="External"/><Relationship Id="rId220" Type="http://schemas.openxmlformats.org/officeDocument/2006/relationships/hyperlink" Target="https://www.sec.gov/Archives/edgar/data/1826011/000119312523225201/d441541ds4.htm#rom441541_41" TargetMode="External"/><Relationship Id="rId221" Type="http://schemas.openxmlformats.org/officeDocument/2006/relationships/hyperlink" Target="https://www.sec.gov/Archives/edgar/data/1826011/000149315224049374/ex2-1.htm" TargetMode="External"/><Relationship Id="rId222" Type="http://schemas.openxmlformats.org/officeDocument/2006/relationships/hyperlink" Target="https://www.sec.gov/Archives/edgar/data/1826011/000149315224050891/ex2-1.htm" TargetMode="External"/><Relationship Id="rId223" Type="http://schemas.openxmlformats.org/officeDocument/2006/relationships/hyperlink" Target="https://www.sec.gov/Archives/edgar/data/1826011/000149315225003319/ex2-1.htm" TargetMode="External"/><Relationship Id="rId224" Type="http://schemas.openxmlformats.org/officeDocument/2006/relationships/hyperlink" Target="https://www.sec.gov/Archives/edgar/data/1826011/000119312523300033/d449527dex31.htm" TargetMode="External"/><Relationship Id="rId225" Type="http://schemas.openxmlformats.org/officeDocument/2006/relationships/hyperlink" Target="https://www.sec.gov/Archives/edgar/data/1826011/000119312523300033/d449527dex32.htm" TargetMode="External"/><Relationship Id="rId226" Type="http://schemas.openxmlformats.org/officeDocument/2006/relationships/hyperlink" Target="https://www.sec.gov/Archives/edgar/data/1826011/000149315225009079/ex3-2.htm" TargetMode="External"/><Relationship Id="rId227" Type="http://schemas.openxmlformats.org/officeDocument/2006/relationships/hyperlink" Target="https://www.sec.gov/Archives/edgar/data/1826011/000149315224036413/ex3-1.htm" TargetMode="External"/><Relationship Id="rId228" Type="http://schemas.openxmlformats.org/officeDocument/2006/relationships/hyperlink" Target="https://www.sec.gov/Archives/edgar/data/1826011/000149315225009079/ex3-1.htm" TargetMode="External"/><Relationship Id="rId229" Type="http://schemas.openxmlformats.org/officeDocument/2006/relationships/hyperlink" Target="https://www.sec.gov/Archives/edgar/data/1826011/000119312523300033/d449527dex41.htm" TargetMode="External"/><Relationship Id="rId230" Type="http://schemas.openxmlformats.org/officeDocument/2006/relationships/hyperlink" Target="https://www.sec.gov/Archives/edgar/data/1826011/000119312523300033/d449527dex42.htm" TargetMode="External"/><Relationship Id="rId231" Type="http://schemas.openxmlformats.org/officeDocument/2006/relationships/hyperlink" Target="https://www.sec.gov/Archives/edgar/data/1826011/000119312523300033/d449527dex43.htm" TargetMode="External"/><Relationship Id="rId232" Type="http://schemas.openxmlformats.org/officeDocument/2006/relationships/hyperlink" Target="https://www.sec.gov/Archives/edgar/data/1826011/000121390020044825/ea132294ex4-1_7gcholdings.htm" TargetMode="External"/><Relationship Id="rId233" Type="http://schemas.openxmlformats.org/officeDocument/2006/relationships/hyperlink" Target="https://www.sec.gov/Archives/edgar/data/1826011/000119312523225201/d441541dex47.htm" TargetMode="External"/><Relationship Id="rId234" Type="http://schemas.openxmlformats.org/officeDocument/2006/relationships/hyperlink" Target="https://www.sec.gov/Archives/edgar/data/1826011/000119312523300033/d449527dex45.htm" TargetMode="External"/><Relationship Id="rId235" Type="http://schemas.openxmlformats.org/officeDocument/2006/relationships/hyperlink" Target="https://www.sec.gov/Archives/edgar/data/1826011/000119312523300033/d449527dex47.htm" TargetMode="External"/><Relationship Id="rId236" Type="http://schemas.openxmlformats.org/officeDocument/2006/relationships/hyperlink" Target="https://www.sec.gov/Archives/edgar/data/1826011/000119312523297160/d564833dex102.htm" TargetMode="External"/><Relationship Id="rId237" Type="http://schemas.openxmlformats.org/officeDocument/2006/relationships/hyperlink" Target="https://www.sec.gov/Archives/edgar/data/1826011/000119312524023808/d567008dex411.htm" TargetMode="External"/><Relationship Id="rId238" Type="http://schemas.openxmlformats.org/officeDocument/2006/relationships/hyperlink" Target="https://www.sec.gov/Archives/edgar/data/1826011/000095017025054303/bnzi-ex4_10.htm" TargetMode="External"/><Relationship Id="rId239" Type="http://schemas.openxmlformats.org/officeDocument/2006/relationships/hyperlink" Target="https://www.sec.gov/Archives/edgar/data/1826011/000149315224050696/ex3-1.htm" TargetMode="External"/><Relationship Id="rId240" Type="http://schemas.openxmlformats.org/officeDocument/2006/relationships/hyperlink" Target="https://www.sec.gov/Archives/edgar/data/1826011/000121390020044825/ea132294ex10-1_7gcholdings.htm" TargetMode="External"/><Relationship Id="rId241" Type="http://schemas.openxmlformats.org/officeDocument/2006/relationships/hyperlink" Target="https://www.sec.gov/Archives/edgar/data/1826011/000121390020044825/ea132294ex10-5_7gcholdings.htm" TargetMode="External"/><Relationship Id="rId244" Type="http://schemas.openxmlformats.org/officeDocument/2006/relationships/hyperlink" Target="https://www.sec.gov/Archives/edgar/data/1826011/000119312523300033/d449527dex106.htm" TargetMode="External"/><Relationship Id="rId245" Type="http://schemas.openxmlformats.org/officeDocument/2006/relationships/hyperlink" Target="https://www.sec.gov/Archives/edgar/data/1826011/000119312523225201/d441541ds4.htm#rom441541_44" TargetMode="External"/><Relationship Id="rId246" Type="http://schemas.openxmlformats.org/officeDocument/2006/relationships/hyperlink" Target="https://www.sec.gov/Archives/edgar/data/1826011/000119312524076619/d810637dex991.htm" TargetMode="External"/><Relationship Id="rId247" Type="http://schemas.openxmlformats.org/officeDocument/2006/relationships/hyperlink" Target="https://www.sec.gov/Archives/edgar/data/1826011/000119312524076619/d810637dex992.htm" TargetMode="External"/><Relationship Id="rId248" Type="http://schemas.openxmlformats.org/officeDocument/2006/relationships/hyperlink" Target="https://www.sec.gov/Archives/edgar/data/1826011/000119312523225201/d441541dex1016.htm" TargetMode="External"/><Relationship Id="rId249" Type="http://schemas.openxmlformats.org/officeDocument/2006/relationships/hyperlink" Target="https://www.sec.gov/Archives/edgar/data/1826011/000119312523225201/d441541dex1018.htm" TargetMode="External"/><Relationship Id="rId250" Type="http://schemas.openxmlformats.org/officeDocument/2006/relationships/hyperlink" Target="https://www.sec.gov/Archives/edgar/data/1826011/000119312523250809/d548057dex101.htm" TargetMode="External"/><Relationship Id="rId251" Type="http://schemas.openxmlformats.org/officeDocument/2006/relationships/hyperlink" Target="https://www.sec.gov/Archives/edgar/data/1826011/000119312523297160/d564833dex101.htm" TargetMode="External"/><Relationship Id="rId252" Type="http://schemas.openxmlformats.org/officeDocument/2006/relationships/hyperlink" Target="https://www.sec.gov/Archives/edgar/data/1826011/000119312523297160/d564833dex103.htm" TargetMode="External"/><Relationship Id="rId253" Type="http://schemas.openxmlformats.org/officeDocument/2006/relationships/hyperlink" Target="https://www.sec.gov/Archives/edgar/data/1826011/000119312523300033/d449527dex105.htm" TargetMode="External"/><Relationship Id="rId254" Type="http://schemas.openxmlformats.org/officeDocument/2006/relationships/hyperlink" Target="https://www.sec.gov/Archives/edgar/data/1826011/000119312523300033/d449527dex108.htm" TargetMode="External"/><Relationship Id="rId255" Type="http://schemas.openxmlformats.org/officeDocument/2006/relationships/hyperlink" Target="https://www.sec.gov/Archives/edgar/data/1826011/000119312524023808/d567008dex1026.htm" TargetMode="External"/><Relationship Id="rId256" Type="http://schemas.openxmlformats.org/officeDocument/2006/relationships/hyperlink" Target="https://www.sec.gov/Archives/edgar/data/1826011/000119312524023808/d567008dex1027.htm" TargetMode="External"/><Relationship Id="rId257" Type="http://schemas.openxmlformats.org/officeDocument/2006/relationships/hyperlink" Target="https://www.sec.gov/Archives/edgar/data/1826011/000119312524028341/d744391dex104.htm" TargetMode="External"/><Relationship Id="rId258" Type="http://schemas.openxmlformats.org/officeDocument/2006/relationships/hyperlink" Target="https://www.sec.gov/Archives/edgar/data/1826011/000119312524023808/d567008dex1029.htm" TargetMode="External"/><Relationship Id="rId259" Type="http://schemas.openxmlformats.org/officeDocument/2006/relationships/hyperlink" Target="https://www.sec.gov/Archives/edgar/data/1826011/000119312524023808/d567008dex1030.htm" TargetMode="External"/><Relationship Id="rId260" Type="http://schemas.openxmlformats.org/officeDocument/2006/relationships/hyperlink" Target="https://www.sec.gov/Archives/edgar/data/1826011/000149315225004641/ex10-1.htm" TargetMode="External"/><Relationship Id="rId261" Type="http://schemas.openxmlformats.org/officeDocument/2006/relationships/hyperlink" Target="https://www.sec.gov/Archives/edgar/data/1826011/000149315224038577/ex10-19.htm" TargetMode="External"/><Relationship Id="rId262" Type="http://schemas.openxmlformats.org/officeDocument/2006/relationships/hyperlink" Target="https://www.sec.gov/Archives/edgar/data/1826011/000119312524139915/d842344dex992.htm" TargetMode="External"/><Relationship Id="rId263" Type="http://schemas.openxmlformats.org/officeDocument/2006/relationships/hyperlink" Target="https://www.sec.gov/Archives/edgar/data/1826011/000149315224037198/ex4-12.htm" TargetMode="External"/><Relationship Id="rId264" Type="http://schemas.openxmlformats.org/officeDocument/2006/relationships/hyperlink" Target="https://www.sec.gov/Archives/edgar/data/1826011/000119312524148209/d647173dex101.htm" TargetMode="External"/><Relationship Id="rId265" Type="http://schemas.openxmlformats.org/officeDocument/2006/relationships/hyperlink" Target="https://www.sec.gov/Archives/edgar/data/1826011/000149315224038522/ex10-1.htm" TargetMode="External"/><Relationship Id="rId266" Type="http://schemas.openxmlformats.org/officeDocument/2006/relationships/hyperlink" Target="https://www.sec.gov/Archives/edgar/data/1826011/000149315224038146/ex10-21.htm" TargetMode="External"/><Relationship Id="rId267" Type="http://schemas.openxmlformats.org/officeDocument/2006/relationships/hyperlink" Target="https://www.sec.gov/Archives/edgar/data/1826011/000149315224038146/ex10-20.htm" TargetMode="External"/><Relationship Id="rId270" Type="http://schemas.openxmlformats.org/officeDocument/2006/relationships/hyperlink" Target="https://www.sec.gov/Archives/edgar/data/1826011/000149315224038146/ex10-17.htm" TargetMode="External"/><Relationship Id="rId271" Type="http://schemas.openxmlformats.org/officeDocument/2006/relationships/hyperlink" Target="https://www.sec.gov/Archives/edgar/data/1826011/000149315224038146/ex10-25.htm" TargetMode="External"/><Relationship Id="rId272" Type="http://schemas.openxmlformats.org/officeDocument/2006/relationships/hyperlink" Target="https://www.sec.gov/Archives/edgar/data/1826011/000149315224038146/ex10-24.htm" TargetMode="External"/><Relationship Id="rId273" Type="http://schemas.openxmlformats.org/officeDocument/2006/relationships/hyperlink" Target="https://www.sec.gov/Archives/edgar/data/1826011/000149315224038522/ex10-2.htm" TargetMode="External"/><Relationship Id="rId274" Type="http://schemas.openxmlformats.org/officeDocument/2006/relationships/hyperlink" Target="https://www.sec.gov/Archives/edgar/data/1826011/000149315224041316/ex10-30.htm" TargetMode="External"/><Relationship Id="rId275" Type="http://schemas.openxmlformats.org/officeDocument/2006/relationships/hyperlink" Target="https://www.sec.gov/Archives/edgar/data/1826011/000149315224041316/ex10-31.htm" TargetMode="External"/><Relationship Id="rId276" Type="http://schemas.openxmlformats.org/officeDocument/2006/relationships/hyperlink" Target="https://www.sec.gov/Archives/edgar/data/1826011/000149315224041316/ex10-32.htm" TargetMode="External"/><Relationship Id="rId277" Type="http://schemas.openxmlformats.org/officeDocument/2006/relationships/hyperlink" Target="https://www.sec.gov/Archives/edgar/data/1826011/000149315224041316/ex10-33.htm" TargetMode="External"/><Relationship Id="rId278" Type="http://schemas.openxmlformats.org/officeDocument/2006/relationships/hyperlink" Target="https://www.sec.gov/Archives/edgar/data/1826011/000149315224038146/ex10-6.htm" TargetMode="External"/><Relationship Id="rId279" Type="http://schemas.openxmlformats.org/officeDocument/2006/relationships/hyperlink" Target="https://www.sec.gov/Archives/edgar/data/1826011/000149315224041316/ex10-35.htm" TargetMode="External"/><Relationship Id="rId280" Type="http://schemas.openxmlformats.org/officeDocument/2006/relationships/hyperlink" Target="https://www.sec.gov/Archives/edgar/data/1826011/000149315224041316/ex10-36.htm" TargetMode="External"/><Relationship Id="rId281" Type="http://schemas.openxmlformats.org/officeDocument/2006/relationships/hyperlink" Target="https://www.sec.gov/Archives/edgar/data/1826011/000149315224041316/ex10-37.htm" TargetMode="External"/><Relationship Id="rId282" Type="http://schemas.openxmlformats.org/officeDocument/2006/relationships/hyperlink" Target="https://www.sec.gov/Archives/edgar/data/1826011/000149315224041316/ex10-38.htm" TargetMode="External"/><Relationship Id="rId283" Type="http://schemas.openxmlformats.org/officeDocument/2006/relationships/hyperlink" Target="https://www.sec.gov/Archives/edgar/data/1826011/000149315224041316/ex10-39.htm" TargetMode="External"/><Relationship Id="rId284" Type="http://schemas.openxmlformats.org/officeDocument/2006/relationships/hyperlink" Target="https://www.sec.gov/Archives/edgar/data/1826011/000149315224041316/ex10-40.htm" TargetMode="External"/><Relationship Id="rId285" Type="http://schemas.openxmlformats.org/officeDocument/2006/relationships/hyperlink" Target="https://www.sec.gov/Archives/edgar/data/1826011/000149315224041316/ex10-41.htm" TargetMode="External"/><Relationship Id="rId286" Type="http://schemas.openxmlformats.org/officeDocument/2006/relationships/hyperlink" Target="https://www.sec.gov/Archives/edgar/data/1826011/000149315224049374/ex10-1.htm" TargetMode="External"/><Relationship Id="rId287" Type="http://schemas.openxmlformats.org/officeDocument/2006/relationships/hyperlink" Target="https://www.sec.gov/Archives/edgar/data/1826011/000149315224049374/ex10-2.htm" TargetMode="External"/><Relationship Id="rId288" Type="http://schemas.openxmlformats.org/officeDocument/2006/relationships/hyperlink" Target="https://www.sec.gov/Archives/edgar/data/1826011/000149315225003319/ex10-1.htm" TargetMode="External"/><Relationship Id="rId289" Type="http://schemas.openxmlformats.org/officeDocument/2006/relationships/hyperlink" Target="https://www.sec.gov/Archives/edgar/data/1826011/000149315225003319/ex10-2.htm" TargetMode="External"/><Relationship Id="rId290" Type="http://schemas.openxmlformats.org/officeDocument/2006/relationships/hyperlink" Target="https://www.sec.gov/Archives/edgar/data/1826011/000149315225003319/ex10-3.htm" TargetMode="External"/><Relationship Id="rId291" Type="http://schemas.openxmlformats.org/officeDocument/2006/relationships/hyperlink" Target="https://www.sec.gov/Archives/edgar/data/1826011/000149315225003319/ex10-4.htm" TargetMode="External"/><Relationship Id="rId292" Type="http://schemas.openxmlformats.org/officeDocument/2006/relationships/hyperlink" Target="https://www.sec.gov/Archives/edgar/data/1826011/000149315225003319/ex10-5.htm" TargetMode="External"/><Relationship Id="rId293" Type="http://schemas.openxmlformats.org/officeDocument/2006/relationships/hyperlink" Target="https://www.sec.gov/Archives/edgar/data/1826011/000149315224049374/ex10-3.htm" TargetMode="External"/><Relationship Id="rId294" Type="http://schemas.openxmlformats.org/officeDocument/2006/relationships/hyperlink" Target="https://www.sec.gov/Archives/edgar/data/1826011/000149315224050891/ex10-1.htm" TargetMode="External"/><Relationship Id="rId295" Type="http://schemas.openxmlformats.org/officeDocument/2006/relationships/hyperlink" Target="https://www.sec.gov/Archives/edgar/data/1826011/000149315224050891/ex10-2.htm" TargetMode="External"/><Relationship Id="rId296" Type="http://schemas.openxmlformats.org/officeDocument/2006/relationships/hyperlink" Target="https://www.sec.gov/Archives/edgar/data/1826011/000149315224050891/ex10-3.htm" TargetMode="External"/><Relationship Id="rId297" Type="http://schemas.openxmlformats.org/officeDocument/2006/relationships/hyperlink" Target="https://www.sec.gov/Archives/edgar/data/1826011/000149315225004502/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2025-05-15T14:47:17Z</dcterms:created>
  <dcterms:modified xsi:type="dcterms:W3CDTF">2025-05-15T14:47:17Z</dcterms:modified>
</cp:coreProperties>
</file>