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8"/>
        </w:rPr>
      </w:pPr>
      <w:bookmarkStart w:id="0" w:name="bnzi-20250630.htm"/>
      <w:bookmarkStart w:id="1" w:name="ksbnzi20250630"/>
      <w:bookmarkEnd w:id="0"/>
      <w:bookmarkEnd w:id="1"/>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FORM 10-Q</w:t>
      </w:r>
    </w:p>
    <w:p>
      <w:pPr>
        <w:pStyle w:val="TextBody"/>
        <w:pBdr>
          <w:bottom w:val="single" w:sz="8" w:space="1" w:color="000000"/>
        </w:pBdr>
        <w:bidi w:val="0"/>
        <w:jc w:val="center"/>
        <w:rPr/>
      </w:pPr>
      <w:r>
        <w:rPr/>
        <w:t> </w:t>
      </w:r>
    </w:p>
    <w:p>
      <w:pPr>
        <w:pStyle w:val="TextBody"/>
        <w:bidi w:val="0"/>
        <w:spacing w:before="60" w:after="283"/>
        <w:jc w:val="left"/>
        <w:rPr/>
      </w:pPr>
      <w:r>
        <w:rPr/>
        <w:t> </w:t>
      </w:r>
    </w:p>
    <w:tbl>
      <w:tblPr>
        <w:tblW w:w="9811" w:type="dxa"/>
        <w:jc w:val="left"/>
        <w:tblInd w:w="0" w:type="dxa"/>
        <w:tblLayout w:type="fixed"/>
        <w:tblCellMar>
          <w:top w:w="28" w:type="dxa"/>
          <w:left w:w="28" w:type="dxa"/>
          <w:bottom w:w="28" w:type="dxa"/>
          <w:right w:w="28" w:type="dxa"/>
        </w:tblCellMar>
      </w:tblPr>
      <w:tblGrid>
        <w:gridCol w:w="9811"/>
      </w:tblGrid>
      <w:tr>
        <w:trPr/>
        <w:tc>
          <w:tcPr>
            <w:tcW w:w="9811" w:type="dxa"/>
            <w:tcBorders/>
            <w:vAlign w:val="center"/>
          </w:tcPr>
          <w:p>
            <w:pPr>
              <w:pStyle w:val="TableContents"/>
              <w:bidi w:val="0"/>
              <w:spacing w:before="0" w:after="283"/>
              <w:jc w:val="left"/>
              <w:rPr>
                <w:sz w:val="4"/>
                <w:szCs w:val="4"/>
              </w:rPr>
            </w:pPr>
            <w:r>
              <w:rPr>
                <w:sz w:val="4"/>
                <w:szCs w:val="4"/>
              </w:rPr>
            </w:r>
          </w:p>
        </w:tc>
      </w:tr>
      <w:tr>
        <w:trPr/>
        <w:tc>
          <w:tcPr>
            <w:tcW w:w="981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quarterly period ended June 30, 2025</w:t>
      </w:r>
    </w:p>
    <w:p>
      <w:pPr>
        <w:pStyle w:val="TextBody"/>
        <w:bidi w:val="0"/>
        <w:spacing w:before="60" w:after="283"/>
        <w:jc w:val="center"/>
        <w:rPr>
          <w:rFonts w:ascii="Times New Roman" w:hAnsi="Times New Roman"/>
          <w:sz w:val="20"/>
        </w:rPr>
      </w:pPr>
      <w:r>
        <w:rPr>
          <w:rFonts w:ascii="Times New Roman" w:hAnsi="Times New Roman"/>
          <w:color w:val="000000"/>
          <w:sz w:val="16"/>
        </w:rPr>
        <w:t>or</w:t>
      </w:r>
      <w:r>
        <w:rPr>
          <w:rFonts w:ascii="Times New Roman" w:hAnsi="Times New Roman"/>
          <w:color w:val="000000"/>
          <w:sz w:val="20"/>
        </w:rPr>
        <w:t xml:space="preserve"> </w:t>
      </w:r>
    </w:p>
    <w:tbl>
      <w:tblPr>
        <w:tblW w:w="9766" w:type="dxa"/>
        <w:jc w:val="left"/>
        <w:tblInd w:w="0" w:type="dxa"/>
        <w:tblLayout w:type="fixed"/>
        <w:tblCellMar>
          <w:top w:w="28" w:type="dxa"/>
          <w:left w:w="28" w:type="dxa"/>
          <w:bottom w:w="28" w:type="dxa"/>
          <w:right w:w="28" w:type="dxa"/>
        </w:tblCellMar>
      </w:tblPr>
      <w:tblGrid>
        <w:gridCol w:w="9766"/>
      </w:tblGrid>
      <w:tr>
        <w:trPr/>
        <w:tc>
          <w:tcPr>
            <w:tcW w:w="9766" w:type="dxa"/>
            <w:tcBorders/>
            <w:vAlign w:val="center"/>
          </w:tcPr>
          <w:p>
            <w:pPr>
              <w:pStyle w:val="TableContents"/>
              <w:bidi w:val="0"/>
              <w:spacing w:before="0" w:after="283"/>
              <w:jc w:val="left"/>
              <w:rPr>
                <w:sz w:val="4"/>
                <w:szCs w:val="4"/>
              </w:rPr>
            </w:pPr>
            <w:r>
              <w:rPr>
                <w:sz w:val="4"/>
                <w:szCs w:val="4"/>
              </w:rPr>
            </w:r>
          </w:p>
        </w:tc>
      </w:tr>
      <w:tr>
        <w:trPr/>
        <w:tc>
          <w:tcPr>
            <w:tcW w:w="9766" w:type="dxa"/>
            <w:tcBorders/>
            <w:tcMar>
              <w:top w:w="0" w:type="dxa"/>
              <w:left w:w="0" w:type="dxa"/>
              <w:bottom w:w="0" w:type="dxa"/>
              <w:right w:w="0" w:type="dxa"/>
            </w:tcMar>
            <w:vAlign w:val="center"/>
          </w:tcPr>
          <w:p>
            <w:pPr>
              <w:pStyle w:val="TableContents"/>
              <w:bidi w:val="0"/>
              <w:spacing w:before="60" w:after="283"/>
              <w:jc w:val="center"/>
              <w:rPr/>
            </w:pPr>
            <w:r>
              <w:rPr>
                <w:color w:val="000000"/>
              </w:rPr>
              <w:t>☐  </w:t>
            </w: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transition period from _________ to _________</w:t>
      </w:r>
    </w:p>
    <w:p>
      <w:pPr>
        <w:pStyle w:val="TextBody"/>
        <w:bidi w:val="0"/>
        <w:spacing w:before="60" w:after="283"/>
        <w:jc w:val="center"/>
        <w:rPr>
          <w:rFonts w:ascii="Times New Roman" w:hAnsi="Times New Roman"/>
          <w:sz w:val="20"/>
        </w:rPr>
      </w:pPr>
      <w:r>
        <w:rPr>
          <w:rFonts w:ascii="Times New Roman" w:hAnsi="Times New Roman"/>
          <w:color w:val="000000"/>
          <w:sz w:val="16"/>
        </w:rPr>
        <w:t xml:space="preserve">Commission File Number: </w:t>
      </w:r>
      <w:r>
        <w:rPr>
          <w:rFonts w:ascii="Times New Roman" w:hAnsi="Times New Roman"/>
          <w:b/>
          <w:color w:val="000000"/>
          <w:sz w:val="18"/>
        </w:rPr>
        <w:t>001-39826</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Banzai International,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8" w:space="1" w:color="000000"/>
        </w:pBdr>
        <w:bidi w:val="0"/>
        <w:jc w:val="center"/>
        <w:rPr/>
      </w:pPr>
      <w:r>
        <w:rPr/>
        <w:t> </w:t>
      </w:r>
    </w:p>
    <w:tbl>
      <w:tblPr>
        <w:tblW w:w="3602" w:type="dxa"/>
        <w:jc w:val="left"/>
        <w:tblInd w:w="0" w:type="dxa"/>
        <w:tblLayout w:type="fixed"/>
        <w:tblCellMar>
          <w:top w:w="28" w:type="dxa"/>
          <w:left w:w="28" w:type="dxa"/>
          <w:bottom w:w="28" w:type="dxa"/>
          <w:right w:w="28" w:type="dxa"/>
        </w:tblCellMar>
      </w:tblPr>
      <w:tblGrid>
        <w:gridCol w:w="238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85-3118980</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2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(I.R.S. Employer</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Identification No.)</w:t>
            </w:r>
          </w:p>
        </w:tc>
      </w:tr>
      <w:tr>
        <w:trPr/>
        <w:tc>
          <w:tcPr>
            <w:tcW w:w="238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16"/>
              </w:rPr>
              <w:t>435 Ericksen Ave, Suite 250</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Bainbridge Island, Washington</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98110</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(206) 414-1777</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5"/>
        <w:gridCol w:w="146"/>
        <w:gridCol w:w="694"/>
        <w:gridCol w:w="146"/>
        <w:gridCol w:w="2524"/>
      </w:tblGrid>
      <w:tr>
        <w:trPr/>
        <w:tc>
          <w:tcPr>
            <w:tcW w:w="6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r>
      <w:tr>
        <w:trPr/>
        <w:tc>
          <w:tcPr>
            <w:tcW w:w="66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2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66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BNZI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4"/>
              </w:rPr>
              <w:t>The Nasdaq</w:t>
            </w:r>
            <w:r>
              <w:rPr>
                <w:rFonts w:ascii="Times New Roman" w:hAnsi="Times New Roman"/>
                <w:color w:val="000000"/>
                <w:sz w:val="20"/>
              </w:rPr>
              <w:t> </w:t>
            </w:r>
            <w:r>
              <w:rPr>
                <w:rFonts w:ascii="Times New Roman" w:hAnsi="Times New Roman"/>
                <w:b/>
                <w:color w:val="000000"/>
                <w:sz w:val="14"/>
              </w:rPr>
              <w:t>Capital Market</w:t>
            </w:r>
          </w:p>
        </w:tc>
      </w:tr>
      <w:tr>
        <w:trPr/>
        <w:tc>
          <w:tcPr>
            <w:tcW w:w="66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Warrants, each whole warrant exercisable for one share of Class A common stock at an exercise price of $11.50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BNZIW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4"/>
              </w:rPr>
              <w:t>The Nasdaq</w:t>
            </w:r>
            <w:r>
              <w:rPr>
                <w:rFonts w:ascii="Times New Roman" w:hAnsi="Times New Roman"/>
                <w:color w:val="000000"/>
                <w:sz w:val="20"/>
              </w:rPr>
              <w:t> </w:t>
            </w:r>
            <w:r>
              <w:rPr>
                <w:rFonts w:ascii="Times New Roman" w:hAnsi="Times New Roman"/>
                <w:b/>
                <w:color w:val="000000"/>
                <w:sz w:val="14"/>
              </w:rPr>
              <w:t>Capital Market</w:t>
            </w:r>
          </w:p>
        </w:tc>
      </w:tr>
    </w:tbl>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outstanding of each of the registrant's classes of common stock, $0.0001 par value per share, as of August 12, 2025:</w:t>
      </w:r>
    </w:p>
    <w:p>
      <w:pPr>
        <w:pStyle w:val="TextBody"/>
        <w:bidi w:val="0"/>
        <w:spacing w:before="60" w:after="283"/>
        <w:jc w:val="left"/>
        <w:rPr>
          <w:rFonts w:ascii="Times New Roman" w:hAnsi="Times New Roman"/>
          <w:sz w:val="20"/>
        </w:rPr>
      </w:pPr>
      <w:r>
        <w:rPr>
          <w:rFonts w:ascii="Times New Roman" w:hAnsi="Times New Roman"/>
          <w:color w:val="000000"/>
          <w:sz w:val="18"/>
        </w:rPr>
        <w:t>Class A Common Stock - 3,226,949</w:t>
      </w:r>
      <w:r>
        <w:rPr>
          <w:rFonts w:ascii="Times New Roman" w:hAnsi="Times New Roman"/>
          <w:color w:val="000000"/>
          <w:sz w:val="20"/>
        </w:rPr>
        <w:t xml:space="preserve"> </w:t>
      </w:r>
      <w:r>
        <w:rPr>
          <w:rFonts w:ascii="Times New Roman" w:hAnsi="Times New Roman"/>
          <w:color w:val="000000"/>
          <w:sz w:val="18"/>
        </w:rPr>
        <w:t>shares</w:t>
      </w:r>
    </w:p>
    <w:p>
      <w:pPr>
        <w:pStyle w:val="TextBody"/>
        <w:bidi w:val="0"/>
        <w:spacing w:before="60" w:after="283"/>
        <w:jc w:val="left"/>
        <w:rPr>
          <w:rFonts w:ascii="Times New Roman" w:hAnsi="Times New Roman"/>
          <w:sz w:val="20"/>
        </w:rPr>
      </w:pPr>
      <w:r>
        <w:rPr>
          <w:rFonts w:ascii="Times New Roman" w:hAnsi="Times New Roman"/>
          <w:color w:val="000000"/>
          <w:sz w:val="18"/>
        </w:rPr>
        <w:t>Class B Common Stock - 231,114</w:t>
      </w:r>
      <w:r>
        <w:rPr>
          <w:rFonts w:ascii="Times New Roman" w:hAnsi="Times New Roman"/>
          <w:color w:val="000000"/>
          <w:sz w:val="20"/>
        </w:rPr>
        <w:t xml:space="preserve"> </w:t>
      </w:r>
      <w:r>
        <w:rPr>
          <w:rFonts w:ascii="Times New Roman" w:hAnsi="Times New Roman"/>
          <w:color w:val="000000"/>
          <w:sz w:val="18"/>
        </w:rPr>
        <w:t>shares</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8"/>
        <w:gridCol w:w="8885"/>
        <w:gridCol w:w="512"/>
      </w:tblGrid>
      <w:tr>
        <w:trPr/>
        <w:tc>
          <w:tcPr>
            <w:tcW w:w="808" w:type="dxa"/>
            <w:tcBorders/>
            <w:vAlign w:val="center"/>
          </w:tcPr>
          <w:p>
            <w:pPr>
              <w:pStyle w:val="TableContents"/>
              <w:bidi w:val="0"/>
              <w:spacing w:before="0" w:after="283"/>
              <w:jc w:val="left"/>
              <w:rPr>
                <w:sz w:val="4"/>
                <w:szCs w:val="4"/>
              </w:rPr>
            </w:pPr>
            <w:r>
              <w:rPr>
                <w:sz w:val="4"/>
                <w:szCs w:val="4"/>
              </w:rPr>
            </w:r>
          </w:p>
        </w:tc>
        <w:tc>
          <w:tcPr>
            <w:tcW w:w="888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as of June 30, 2025 (Unaudited) and December 31,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Unaudited Condensed Consolidated Statements of Operations for the three and six months ended June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deficit">
              <w:r>
                <w:rPr>
                  <w:rStyle w:val="InternetLink"/>
                  <w:rFonts w:ascii="Times New Roman" w:hAnsi="Times New Roman"/>
                  <w:color w:val="0000FF"/>
                  <w:sz w:val="20"/>
                  <w:u w:val="single"/>
                </w:rPr>
                <w:t>Unaudited Condensed Consolidated Statements of Changes in Stockholders' Equity (Deficit) for the three and six months ended June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Unaudited Condensed Consolidated Statements of Cash Flows for the six months ended June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_discussion_analysis">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8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00" w:after="283"/>
        <w:jc w:val="center"/>
        <w:rPr>
          <w:rFonts w:ascii="Times New Roman" w:hAnsi="Times New Roman"/>
          <w:b/>
          <w:color w:val="000000"/>
          <w:sz w:val="20"/>
        </w:rPr>
      </w:pPr>
      <w:bookmarkStart w:id="3" w:name="balance_sheet"/>
      <w:bookmarkEnd w:id="3"/>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12"/>
        <w:gridCol w:w="146"/>
        <w:gridCol w:w="196"/>
        <w:gridCol w:w="976"/>
        <w:gridCol w:w="166"/>
        <w:gridCol w:w="146"/>
        <w:gridCol w:w="209"/>
        <w:gridCol w:w="1042"/>
        <w:gridCol w:w="612"/>
      </w:tblGrid>
      <w:tr>
        <w:trPr/>
        <w:tc>
          <w:tcPr>
            <w:tcW w:w="6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2,253,903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1,087,497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Accounts receivable, net of allowance for credit losses of $74,108</w:t>
            </w:r>
            <w:r>
              <w:rPr>
                <w:rFonts w:ascii="Times New Roman" w:hAnsi="Times New Roman"/>
                <w:color w:val="000000"/>
                <w:sz w:val="20"/>
              </w:rPr>
              <w:t> </w:t>
            </w:r>
            <w:r>
              <w:rPr>
                <w:rFonts w:ascii="Times New Roman" w:hAnsi="Times New Roman"/>
                <w:color w:val="000000"/>
                <w:sz w:val="16"/>
              </w:rPr>
              <w:t>and $24,210,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936,321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643,674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3,820,898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2,667,492</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8,635,827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3,883,853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21,991,721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18,972,475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72,565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63,000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34,675,878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25,674,078</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3,095,393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7,782,746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4,405,626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3,891,018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8,425,943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8,639,701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215,057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3,575,000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Private placement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2,324,365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Due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167,118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4,095,847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3,934,627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22,731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30,244,142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28,260,148</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117,643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49,974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31,517,499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28,437,880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275,000,000</w:t>
            </w:r>
            <w:r>
              <w:rPr>
                <w:rFonts w:ascii="Times New Roman" w:hAnsi="Times New Roman"/>
                <w:color w:val="000000"/>
                <w:sz w:val="20"/>
              </w:rPr>
              <w:t> </w:t>
            </w:r>
            <w:r>
              <w:rPr>
                <w:rFonts w:ascii="Times New Roman" w:hAnsi="Times New Roman"/>
                <w:color w:val="000000"/>
                <w:sz w:val="16"/>
              </w:rPr>
              <w:t>(250,000,000</w:t>
            </w:r>
            <w:r>
              <w:rPr>
                <w:rFonts w:ascii="Times New Roman" w:hAnsi="Times New Roman"/>
                <w:color w:val="000000"/>
                <w:sz w:val="20"/>
              </w:rPr>
              <w:t> </w:t>
            </w:r>
            <w:r>
              <w:rPr>
                <w:rFonts w:ascii="Times New Roman" w:hAnsi="Times New Roman"/>
                <w:color w:val="000000"/>
                <w:sz w:val="16"/>
              </w:rPr>
              <w:t>Class A and 25,000,000</w:t>
            </w:r>
            <w:r>
              <w:rPr>
                <w:rFonts w:ascii="Times New Roman" w:hAnsi="Times New Roman"/>
                <w:color w:val="000000"/>
                <w:sz w:val="20"/>
              </w:rPr>
              <w:t> </w:t>
            </w:r>
            <w:r>
              <w:rPr>
                <w:rFonts w:ascii="Times New Roman" w:hAnsi="Times New Roman"/>
                <w:color w:val="000000"/>
                <w:sz w:val="16"/>
              </w:rPr>
              <w:t>Class B) shares authorized and 2,478,587</w:t>
            </w:r>
            <w:r>
              <w:rPr>
                <w:rFonts w:ascii="Times New Roman" w:hAnsi="Times New Roman"/>
                <w:color w:val="000000"/>
                <w:sz w:val="20"/>
              </w:rPr>
              <w:t> </w:t>
            </w:r>
            <w:r>
              <w:rPr>
                <w:rFonts w:ascii="Times New Roman" w:hAnsi="Times New Roman"/>
                <w:color w:val="000000"/>
                <w:sz w:val="16"/>
              </w:rPr>
              <w:t>(2,247,473</w:t>
            </w:r>
            <w:r>
              <w:rPr>
                <w:rFonts w:ascii="Times New Roman" w:hAnsi="Times New Roman"/>
                <w:color w:val="000000"/>
                <w:sz w:val="20"/>
              </w:rPr>
              <w:t> </w:t>
            </w:r>
            <w:r>
              <w:rPr>
                <w:rFonts w:ascii="Times New Roman" w:hAnsi="Times New Roman"/>
                <w:color w:val="000000"/>
                <w:sz w:val="16"/>
              </w:rPr>
              <w:t>Class A and 231,114</w:t>
            </w:r>
            <w:r>
              <w:rPr>
                <w:rFonts w:ascii="Times New Roman" w:hAnsi="Times New Roman"/>
                <w:color w:val="000000"/>
                <w:sz w:val="20"/>
              </w:rPr>
              <w:t> </w:t>
            </w:r>
            <w:r>
              <w:rPr>
                <w:rFonts w:ascii="Times New Roman" w:hAnsi="Times New Roman"/>
                <w:color w:val="000000"/>
                <w:sz w:val="16"/>
              </w:rPr>
              <w:t>Class B) and 819,516</w:t>
            </w:r>
            <w:r>
              <w:rPr>
                <w:rFonts w:ascii="Times New Roman" w:hAnsi="Times New Roman"/>
                <w:color w:val="000000"/>
                <w:sz w:val="20"/>
              </w:rPr>
              <w:t> </w:t>
            </w:r>
            <w:r>
              <w:rPr>
                <w:rFonts w:ascii="Times New Roman" w:hAnsi="Times New Roman"/>
                <w:color w:val="000000"/>
                <w:sz w:val="16"/>
              </w:rPr>
              <w:t>(588,402</w:t>
            </w:r>
            <w:r>
              <w:rPr>
                <w:rFonts w:ascii="Times New Roman" w:hAnsi="Times New Roman"/>
                <w:color w:val="000000"/>
                <w:sz w:val="20"/>
              </w:rPr>
              <w:t> </w:t>
            </w:r>
            <w:r>
              <w:rPr>
                <w:rFonts w:ascii="Times New Roman" w:hAnsi="Times New Roman"/>
                <w:color w:val="000000"/>
                <w:sz w:val="16"/>
              </w:rPr>
              <w:t>Class A and 231,114</w:t>
            </w:r>
            <w:r>
              <w:rPr>
                <w:rFonts w:ascii="Times New Roman" w:hAnsi="Times New Roman"/>
                <w:color w:val="000000"/>
                <w:sz w:val="20"/>
              </w:rPr>
              <w:t> </w:t>
            </w:r>
            <w:r>
              <w:rPr>
                <w:rFonts w:ascii="Times New Roman" w:hAnsi="Times New Roman"/>
                <w:color w:val="000000"/>
                <w:sz w:val="16"/>
              </w:rPr>
              <w:t>Class B) issued and outstanding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stock, $0.0001</w:t>
            </w:r>
            <w:r>
              <w:rPr>
                <w:rFonts w:ascii="Times New Roman" w:hAnsi="Times New Roman"/>
                <w:color w:val="000000"/>
                <w:sz w:val="20"/>
              </w:rPr>
              <w:t> </w:t>
            </w:r>
            <w:r>
              <w:rPr>
                <w:rFonts w:ascii="Times New Roman" w:hAnsi="Times New Roman"/>
                <w:color w:val="000000"/>
                <w:sz w:val="16"/>
              </w:rPr>
              <w:t>par value, 75,000,000</w:t>
            </w:r>
            <w:r>
              <w:rPr>
                <w:rFonts w:ascii="Times New Roman" w:hAnsi="Times New Roman"/>
                <w:color w:val="000000"/>
                <w:sz w:val="20"/>
              </w:rPr>
              <w:t> </w:t>
            </w:r>
            <w:r>
              <w:rPr>
                <w:rFonts w:ascii="Times New Roman" w:hAnsi="Times New Roman"/>
                <w:color w:val="000000"/>
                <w:sz w:val="16"/>
              </w:rPr>
              <w:t>shares authorized, 1</w:t>
            </w:r>
            <w:r>
              <w:rPr>
                <w:rFonts w:ascii="Times New Roman" w:hAnsi="Times New Roman"/>
                <w:color w:val="000000"/>
                <w:sz w:val="20"/>
              </w:rPr>
              <w:t> </w:t>
            </w:r>
            <w:r>
              <w:rPr>
                <w:rFonts w:ascii="Times New Roman" w:hAnsi="Times New Roman"/>
                <w:color w:val="000000"/>
                <w:sz w:val="16"/>
              </w:rPr>
              <w:t>and 1</w:t>
            </w:r>
            <w:r>
              <w:rPr>
                <w:rFonts w:ascii="Times New Roman" w:hAnsi="Times New Roman"/>
                <w:color w:val="000000"/>
                <w:sz w:val="20"/>
              </w:rPr>
              <w:t> </w:t>
            </w:r>
            <w:r>
              <w:rPr>
                <w:rFonts w:ascii="Times New Roman" w:hAnsi="Times New Roman"/>
                <w:color w:val="000000"/>
                <w:sz w:val="16"/>
              </w:rPr>
              <w:t>shares issued and outstanding at June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92,875,082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75,515,831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(89,716,948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(78,279,713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3,158,379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(2,763,802</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34,675,878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25,674,078</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statement_of_operations"/>
      <w:bookmarkEnd w:id="4"/>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Operations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36"/>
        <w:gridCol w:w="146"/>
        <w:gridCol w:w="216"/>
        <w:gridCol w:w="977"/>
        <w:gridCol w:w="183"/>
        <w:gridCol w:w="160"/>
        <w:gridCol w:w="216"/>
        <w:gridCol w:w="977"/>
        <w:gridCol w:w="166"/>
        <w:gridCol w:w="146"/>
        <w:gridCol w:w="205"/>
        <w:gridCol w:w="1022"/>
        <w:gridCol w:w="173"/>
        <w:gridCol w:w="152"/>
        <w:gridCol w:w="205"/>
        <w:gridCol w:w="928"/>
        <w:gridCol w:w="797"/>
      </w:tblGrid>
      <w:tr>
        <w:trPr/>
        <w:tc>
          <w:tcPr>
            <w:tcW w:w="3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3,262,250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6,641,333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2,147,669</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554,515</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1,160,514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711,388</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2,707,735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5,480,819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1,436,281</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7,112,803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4,109,234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14,545,891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8,208,022</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300,546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547,237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2,825</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7,413,349</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4,110,495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15,093,128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8,210,847</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(4,705,614</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(3,372,306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(9,612,309</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(6,774,566</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GEM settlement fee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200,000</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847,418</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536,639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895,020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962,987</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(145,221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(4,488,627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(527,980</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169,200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443,000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171,000</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837,000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837,000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extinguishment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1,769,895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(562,000</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warrant liability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(345,000</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bifurcated embedded derivative assets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78,900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238,000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578,000</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149,885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315,791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convertible bridge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(16,282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(37,996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Yorkville prepayment premium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80,760</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362,613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747,137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1,335,377</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1,210,846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60,027</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3,319,111</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1,982,364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1,465,202</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(8,024,725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(3,948,704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(11,594,673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(8,239,768</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(230,969</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(157,438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5,691</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(7,793,756</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(3,955,328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(11,437,235</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(8,245,459</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(30.43</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1,911,276</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1,578,814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270,940</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statement_of_deficit"/>
      <w:bookmarkEnd w:id="5"/>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2025 and 2024</w:t>
      </w:r>
    </w:p>
    <w:p>
      <w:pPr>
        <w:pStyle w:val="TextBody"/>
        <w:bidi w:val="0"/>
        <w:jc w:val="left"/>
        <w:rPr/>
      </w:pPr>
      <w:r>
        <w:rPr/>
        <w:t> </w:t>
      </w:r>
    </w:p>
    <w:tbl>
      <w:tblPr>
        <w:tblW w:w="11337"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826"/>
        <w:gridCol w:w="146"/>
        <w:gridCol w:w="146"/>
        <w:gridCol w:w="236"/>
        <w:gridCol w:w="455"/>
        <w:gridCol w:w="146"/>
        <w:gridCol w:w="146"/>
        <w:gridCol w:w="196"/>
        <w:gridCol w:w="916"/>
        <w:gridCol w:w="166"/>
        <w:gridCol w:w="146"/>
        <w:gridCol w:w="196"/>
        <w:gridCol w:w="976"/>
        <w:gridCol w:w="166"/>
        <w:gridCol w:w="146"/>
        <w:gridCol w:w="196"/>
        <w:gridCol w:w="886"/>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819,516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75,515,831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(78,279,713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(2,763,802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shares to Yorkville under the SEPA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7,071,555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7,071,606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Hudson for consulting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payment to Verista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Vidello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1,661,668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1,661,677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(3,643,479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(3,643,479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1,468,677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84,867,917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(81,923,192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2,944,870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shares to Yorkville under the SEPA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757,117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6,521,071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6,521,147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Hudson for consulting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399,996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upon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329,996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756,122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(7,793,756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(7,793,756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2,478,587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92,875,082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(89,716,948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3,158,379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1"/>
        <w:gridCol w:w="146"/>
        <w:gridCol w:w="208"/>
        <w:gridCol w:w="400"/>
        <w:gridCol w:w="158"/>
        <w:gridCol w:w="158"/>
        <w:gridCol w:w="279"/>
        <w:gridCol w:w="427"/>
        <w:gridCol w:w="146"/>
        <w:gridCol w:w="146"/>
        <w:gridCol w:w="146"/>
        <w:gridCol w:w="691"/>
        <w:gridCol w:w="166"/>
        <w:gridCol w:w="146"/>
        <w:gridCol w:w="249"/>
        <w:gridCol w:w="442"/>
        <w:gridCol w:w="146"/>
        <w:gridCol w:w="146"/>
        <w:gridCol w:w="196"/>
        <w:gridCol w:w="916"/>
        <w:gridCol w:w="146"/>
        <w:gridCol w:w="146"/>
        <w:gridCol w:w="196"/>
        <w:gridCol w:w="976"/>
        <w:gridCol w:w="166"/>
        <w:gridCol w:w="146"/>
        <w:gridCol w:w="197"/>
        <w:gridCol w:w="985"/>
        <w:gridCol w:w="214"/>
      </w:tblGrid>
      <w:tr>
        <w:trPr/>
        <w:tc>
          <w:tcPr>
            <w:tcW w:w="1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 (Deficit)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258,530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14,890,169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(46,766,324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(31,876,129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Conversion of convertible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2,540,091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2,540,091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for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1,667,000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for commitment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Roth for advisory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278,833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GEM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194,935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Forfeiture of sponsor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42,827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(4,290,132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(4,290,132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20,213,855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(51,056,456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(30,842,575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and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1,854,817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1,854,818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for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for redemption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115,800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GEM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139,837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202,662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(3,955,328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(3,955,328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300,382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23,162,565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(55,011,784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(31,849,189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statement_of_cash_flows"/>
      <w:bookmarkEnd w:id="6"/>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center"/>
        <w:rPr/>
      </w:pPr>
      <w:r>
        <w:rPr/>
        <w:t> </w:t>
      </w:r>
    </w:p>
    <w:tbl>
      <w:tblPr>
        <w:tblW w:w="8319" w:type="dxa"/>
        <w:jc w:val="left"/>
        <w:tblInd w:w="0" w:type="dxa"/>
        <w:tblLayout w:type="fixed"/>
        <w:tblCellMar>
          <w:top w:w="28" w:type="dxa"/>
          <w:left w:w="28" w:type="dxa"/>
          <w:bottom w:w="28" w:type="dxa"/>
          <w:right w:w="28" w:type="dxa"/>
        </w:tblCellMar>
      </w:tblPr>
      <w:tblGrid>
        <w:gridCol w:w="5456"/>
        <w:gridCol w:w="146"/>
        <w:gridCol w:w="181"/>
        <w:gridCol w:w="811"/>
        <w:gridCol w:w="151"/>
        <w:gridCol w:w="146"/>
        <w:gridCol w:w="181"/>
        <w:gridCol w:w="736"/>
        <w:gridCol w:w="511"/>
      </w:tblGrid>
      <w:tr>
        <w:trPr/>
        <w:tc>
          <w:tcPr>
            <w:tcW w:w="5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(11,437,235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(8,245,459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547,237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Provision for credit losses on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share issuance for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175,334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shares issued for consulting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settlement of GEM commitment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Discount at issuance on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share issuance for Yorkville redemption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80,760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596,693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658,172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175,517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68,459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debt discount and issuance costs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787,470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87,579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 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1,092,690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245,488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Gain on extinguishment of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(4,488,627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(527,980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837,000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extinguishment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1,769,895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warrant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bifurcated embedded derivative liabilities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convertible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315,791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convertible bridge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(37,996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81,079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(113,839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(180,343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(199,431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2,989,940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(286,746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108,142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162,104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(123,399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(152,335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448,476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(22,274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(354,791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(9,022,726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(3,812,695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Cash paid in acquisition of Vidello,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(2,677,480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(2,677,480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Payment of GEM commitment fee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(215,057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convertible notes (Yorkville)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term notes,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(5,932,690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Partial repayment of convertible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(870,190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Yorkville redemption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35,040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convertible notes,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5,302,000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received for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shares to Yorkville under the SEPA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13,592,753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shares issued to Verista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common stock and pre-funded warrants under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329,996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1,854,818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12,866,612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2,190,724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increase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1,166,406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(1,621,971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1,087,497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2,093,718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2,253,903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471,747</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left"/>
        <w:rPr/>
      </w:pPr>
      <w:r>
        <w:rPr/>
        <w:t> </w:t>
      </w:r>
    </w:p>
    <w:tbl>
      <w:tblPr>
        <w:tblW w:w="5619" w:type="dxa"/>
        <w:jc w:val="left"/>
        <w:tblInd w:w="0" w:type="dxa"/>
        <w:tblLayout w:type="fixed"/>
        <w:tblCellMar>
          <w:top w:w="28" w:type="dxa"/>
          <w:left w:w="28" w:type="dxa"/>
          <w:bottom w:w="28" w:type="dxa"/>
          <w:right w:w="28" w:type="dxa"/>
        </w:tblCellMar>
      </w:tblPr>
      <w:tblGrid>
        <w:gridCol w:w="3316"/>
        <w:gridCol w:w="146"/>
        <w:gridCol w:w="146"/>
        <w:gridCol w:w="691"/>
        <w:gridCol w:w="146"/>
        <w:gridCol w:w="146"/>
        <w:gridCol w:w="146"/>
        <w:gridCol w:w="691"/>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158,518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Roth for advisory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278,833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GEM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for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334,772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for Hudson consulting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Settlement of GEM commitment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Yorkville for redemption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Consideration transferred for acquisition of 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1,661,677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Assets acquired in acquisition of 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8,393,172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Liabilities assumed in acquisition of 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3,986,464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Yorkville of aggregate commitment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convertible promissory note - GEM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convertible notes - Yorkville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convertible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2,540,091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notes_to_financial_statements"/>
      <w:bookmarkEnd w:id="7"/>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Banzai International, Inc. (the “Company” or “Banzai”) was incorporated in Delaware on September 30, 2015. Banzai is a leading enterprise SaaS Video Engagement platform used by marketers to power webinars, trainings, virtual events, and on-demand video content.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Reverse Stock Splits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29, 2024, the Company held a special meeting of securityholders (the “Special Meeting”). At the Special Meeting, the Company’s securityholders approved the proposal to amend the Second Amended and Restated Certificate of Incorporation to effect a reverse stock split with respect to the Company’s issued and outstanding Class A Common Stock, at a ratio of up to 1-for-50, with the final ratio and exact timing to be determined at the discretion of the Board of Directors (the "2024 Reverse Stock Split"). On September 10, 2024, the Board determined to effect a reverse stock split at a ratio of 1-for-50, effective as of September 19, 2024 and filed an amendment with the Secretary of State of the State of Delaware. The Class B Common Stock was not affected by the 2024 Reverse Stock Split.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27, 2025, the stockholders of the Company collectively approved an amendment to the Company’s Certificate of Incorporation, as amended and restated, to effect a reverse stock split (the “2025 Reverse Stock Split”) of the Company’s outstanding Class A Common Stock and Class B Common Stock at a ratio of 1-for-10 effective on July 8, 2025.</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No cash or fractional shares were issued in connection with the 2024 Reverse Stock Split and 2025 Reverse Stock Split, and instead the Company rounded up to the next whole share in lieu of issuing factional shares that would have been issued in the reverse split. </w:t>
      </w:r>
      <w:r>
        <w:rPr>
          <w:rFonts w:ascii="Times New Roman" w:hAnsi="Times New Roman"/>
          <w:color w:val="212529"/>
          <w:sz w:val="20"/>
        </w:rPr>
        <w:t>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Common Stock share and per share information included in this Quarterly Report on Form 10-Q has been retroactively adjusted to reflect the impact of the Reverse Stock Split.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closure of the Merger, the Company became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public companies that are not emerging growth companies.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Section 102(b) (1) of the JOBS Act exempts emerging growth companies from being required to comply with new or revised financial accounting standards until private companies are required to comply. Private companies are those companies that have not had a Securities Act registration statement declared effective or do not have a class of securities registered under the Exchange Act of 1934, as amended (the "Exchange Act"). The JOBS Act provides that a company can elect to opt out of the extended transition period and comply with the requirements that apply to non-emerging growth companies. Any such election to opt out is irrevocable. The Company has elected not to opt out of such extended transition period, which means that when a standard is issued or revised, it adopts the new or revised standard at the time private companies adopt the new or revised standard. Therefore, the Company’s financial statements may not be comparable to certain public companies.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2025 the Company had cash of approximately $2.3 million. For the six months ended June 30, 2025, the Company used approximately $9.0 million in cash for operating activities. The Company has incurred recurring net losses from operations and negative cash flows from operating activities since inception. As of June 30, 2025, the Company had an accumulated deficit of approximately $89.7 million. These factors raise substantial doubt regarding the Company’s ability to continue as a going concern within one year of the date these financial statements were issued.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Company’s plans include obtaining future debt financings (see </w:t>
      </w:r>
      <w:r>
        <w:rPr>
          <w:rFonts w:ascii="Times New Roman" w:hAnsi="Times New Roman"/>
          <w:i/>
          <w:color w:val="000000"/>
          <w:sz w:val="20"/>
        </w:rPr>
        <w:t>Note 13</w:t>
      </w:r>
      <w:r>
        <w:rPr>
          <w:rFonts w:ascii="Times New Roman" w:hAnsi="Times New Roman"/>
          <w:color w:val="000000"/>
          <w:sz w:val="20"/>
        </w:rPr>
        <w:t xml:space="preserve">) and equity financings associated with the Yorkville SEPA (as defined in </w:t>
      </w:r>
      <w:r>
        <w:rPr>
          <w:rFonts w:ascii="Times New Roman" w:hAnsi="Times New Roman"/>
          <w:i/>
          <w:color w:val="000000"/>
          <w:sz w:val="20"/>
        </w:rPr>
        <w:t>Note 16</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accompanying condensed consolidated financial statements have been prepared assuming that the Company will continue as a going concern and do not include any adjustments that might result from the outcome of this uncertainty.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Summary of Significant Accounting Policies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U.S. GAAP have been omitted pursuant to such rules and regulations of the SEC relating to interim financial statements. The December 31, 2024 balance sheet information was derived from the audited financial statements as of that date. Except as disclosed herein, there has been no material change in the information disclosed in the notes to the consolidated financial statements for the year ended December 31, 2024 included in the Company’s Annual Report on Form 10-K, as filed with the Securities and Exchange Commission on April 15, 2025.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June 30, 2025 are not necessarily indicative of the results that may be expected for the year ending December 31, 2025.</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Intangible Assets</w:t>
      </w:r>
    </w:p>
    <w:p>
      <w:pPr>
        <w:pStyle w:val="TextBody"/>
        <w:bidi w:val="0"/>
        <w:jc w:val="both"/>
        <w:rPr>
          <w:rFonts w:ascii="Times New Roman" w:hAnsi="Times New Roman"/>
          <w:color w:val="212529"/>
          <w:sz w:val="20"/>
        </w:rPr>
      </w:pPr>
      <w:r>
        <w:rPr>
          <w:rFonts w:ascii="Times New Roman" w:hAnsi="Times New Roman"/>
          <w:color w:val="212529"/>
          <w:sz w:val="20"/>
        </w:rPr>
        <w:t>Intangible assets are presented at fair value, net of amortization. The fair value is determined based on the appraised value of the asset. Intangible assets are composed of developed technology, trade names and customer lists. Intangible assets subject to amortization consist of the following:</w:t>
      </w:r>
    </w:p>
    <w:p>
      <w:pPr>
        <w:pStyle w:val="TextBody"/>
        <w:bidi w:val="0"/>
        <w:jc w:val="left"/>
        <w:rPr/>
      </w:pPr>
      <w:r>
        <w:rPr/>
        <w:t> </w:t>
      </w:r>
    </w:p>
    <w:tbl>
      <w:tblPr>
        <w:tblW w:w="6989" w:type="dxa"/>
        <w:jc w:val="left"/>
        <w:tblInd w:w="0" w:type="dxa"/>
        <w:tblLayout w:type="fixed"/>
        <w:tblCellMar>
          <w:top w:w="28" w:type="dxa"/>
          <w:left w:w="28" w:type="dxa"/>
          <w:bottom w:w="28" w:type="dxa"/>
          <w:right w:w="28" w:type="dxa"/>
        </w:tblCellMar>
      </w:tblPr>
      <w:tblGrid>
        <w:gridCol w:w="2746"/>
        <w:gridCol w:w="146"/>
        <w:gridCol w:w="2611"/>
        <w:gridCol w:w="235"/>
        <w:gridCol w:w="1040"/>
        <w:gridCol w:w="2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Useful Life (years):</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6 - 7</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1,139,710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10 - 15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6 - 8</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6,425,010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9,200,320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(564,493</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8,635,827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Total amortization expense related to intangible assets was $545,026 for the six months ended June 30, 2025. Expected amortization expense is as follows:</w:t>
      </w:r>
    </w:p>
    <w:p>
      <w:pPr>
        <w:pStyle w:val="TextBody"/>
        <w:bidi w:val="0"/>
        <w:jc w:val="left"/>
        <w:rPr/>
      </w:pPr>
      <w:r>
        <w:rPr/>
        <w:t> </w:t>
      </w:r>
    </w:p>
    <w:tbl>
      <w:tblPr>
        <w:tblW w:w="5526" w:type="dxa"/>
        <w:jc w:val="left"/>
        <w:tblInd w:w="0" w:type="dxa"/>
        <w:tblLayout w:type="fixed"/>
        <w:tblCellMar>
          <w:top w:w="28" w:type="dxa"/>
          <w:left w:w="28" w:type="dxa"/>
          <w:bottom w:w="28" w:type="dxa"/>
          <w:right w:w="28" w:type="dxa"/>
        </w:tblCellMar>
      </w:tblPr>
      <w:tblGrid>
        <w:gridCol w:w="3901"/>
        <w:gridCol w:w="146"/>
        <w:gridCol w:w="146"/>
        <w:gridCol w:w="211"/>
        <w:gridCol w:w="931"/>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Year Ending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614,199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 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 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3,161,948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8,635,827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212529"/>
          <w:sz w:val="20"/>
        </w:rPr>
        <w:t xml:space="preserve">The Company periodically evaluates its long-lived assets for potential impairment in accordance with ASC Topic 360, Property, Plant and Equipment </w:t>
      </w:r>
      <w:r>
        <w:rPr>
          <w:rFonts w:ascii="Times New Roman" w:hAnsi="Times New Roman"/>
          <w:i/>
          <w:color w:val="212529"/>
          <w:sz w:val="20"/>
        </w:rPr>
        <w:t>(</w:t>
      </w:r>
      <w:r>
        <w:rPr>
          <w:rFonts w:ascii="Times New Roman" w:hAnsi="Times New Roman"/>
          <w:color w:val="212529"/>
          <w:sz w:val="20"/>
        </w:rPr>
        <w:t>“</w:t>
      </w:r>
      <w:r>
        <w:rPr>
          <w:rFonts w:ascii="Times New Roman" w:hAnsi="Times New Roman"/>
          <w:i/>
          <w:color w:val="212529"/>
          <w:sz w:val="20"/>
        </w:rPr>
        <w:t>ASC 360</w:t>
      </w:r>
      <w:r>
        <w:rPr>
          <w:rFonts w:ascii="Times New Roman" w:hAnsi="Times New Roman"/>
          <w:color w:val="212529"/>
          <w:sz w:val="20"/>
        </w:rPr>
        <w:t xml:space="preserve">”).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212529"/>
          <w:sz w:val="20"/>
        </w:rPr>
        <w:t xml:space="preserve">market trends and product development cycles. If impairments are identified, assets are written down to their estimated fair value. The Company has not recognized any impairment charges through </w:t>
      </w:r>
      <w:r>
        <w:rPr>
          <w:rFonts w:ascii="Times New Roman" w:hAnsi="Times New Roman"/>
          <w:color w:val="000000"/>
          <w:sz w:val="20"/>
        </w:rPr>
        <w:t>June 30, 2025</w:t>
      </w:r>
      <w:r>
        <w:rPr>
          <w:rFonts w:ascii="Times New Roman" w:hAnsi="Times New Roman"/>
          <w:color w:val="212529"/>
          <w:sz w:val="20"/>
        </w:rPr>
        <w:t>.</w:t>
      </w:r>
    </w:p>
    <w:p>
      <w:pPr>
        <w:pStyle w:val="TextBody"/>
        <w:bidi w:val="0"/>
        <w:jc w:val="left"/>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jc w:val="both"/>
        <w:rPr>
          <w:rFonts w:ascii="Times New Roman" w:hAnsi="Times New Roman"/>
          <w:color w:val="000000"/>
          <w:sz w:val="20"/>
        </w:rPr>
      </w:pPr>
      <w:r>
        <w:rPr>
          <w:rFonts w:ascii="Times New Roman" w:hAnsi="Times New Roman"/>
          <w:color w:val="000000"/>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Warrant Liability -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warrants originally issued in 7GC's initial public offering (the "Public Warrants") are recognized as derivative liabilities in accordance with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Company’s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Public Warrants were initially measured at fair value using a Monte Carlo simulation model and have subsequently been measured based on the listed market price of such warrants. Warrant liabilities are classified as current liabilities on the Company's consolidated balance sheets.</w:t>
      </w:r>
    </w:p>
    <w:p>
      <w:pPr>
        <w:pStyle w:val="TextBody"/>
        <w:bidi w:val="0"/>
        <w:spacing w:before="200" w:after="283"/>
        <w:jc w:val="both"/>
        <w:rPr>
          <w:rFonts w:ascii="Times New Roman" w:hAnsi="Times New Roman"/>
          <w:sz w:val="20"/>
        </w:rPr>
      </w:pPr>
      <w:r>
        <w:rPr>
          <w:rFonts w:ascii="Times New Roman" w:hAnsi="Times New Roman"/>
          <w:i/>
          <w:color w:val="000000"/>
          <w:sz w:val="20"/>
        </w:rPr>
        <w:t>Warrant Liability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calculation of basic and diluted net loss per share attributable to common stock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23"/>
        <w:gridCol w:w="146"/>
        <w:gridCol w:w="231"/>
        <w:gridCol w:w="1089"/>
        <w:gridCol w:w="182"/>
        <w:gridCol w:w="160"/>
        <w:gridCol w:w="231"/>
        <w:gridCol w:w="1089"/>
        <w:gridCol w:w="166"/>
        <w:gridCol w:w="146"/>
        <w:gridCol w:w="218"/>
        <w:gridCol w:w="1137"/>
        <w:gridCol w:w="172"/>
        <w:gridCol w:w="151"/>
        <w:gridCol w:w="218"/>
        <w:gridCol w:w="1028"/>
        <w:gridCol w:w="218"/>
      </w:tblGrid>
      <w:tr>
        <w:trPr/>
        <w:tc>
          <w:tcPr>
            <w:tcW w:w="3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(7,793,756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(11,437,235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(8,245,459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1,911,276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1,578,814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270,940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above weighted average share numbers for the three and six months ended June 30, 2025, include 23,302 prefunded warrants which were outstanding throughout the period. No such prefunded warrants were outstanding during the comparative six month period ended June 30,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Securities that were excluded from loss per share as their effect would be anti-dilutive due to the net loss position that could potentially be dilutive in future periods are as follows:</w:t>
      </w:r>
    </w:p>
    <w:p>
      <w:pPr>
        <w:pStyle w:val="TextBody"/>
        <w:bidi w:val="0"/>
        <w:jc w:val="both"/>
        <w:rPr/>
      </w:pPr>
      <w:r>
        <w:rPr/>
        <w:t> </w:t>
      </w:r>
    </w:p>
    <w:tbl>
      <w:tblPr>
        <w:tblW w:w="5019" w:type="dxa"/>
        <w:jc w:val="left"/>
        <w:tblInd w:w="0" w:type="dxa"/>
        <w:tblLayout w:type="fixed"/>
        <w:tblCellMar>
          <w:top w:w="28" w:type="dxa"/>
          <w:left w:w="28" w:type="dxa"/>
          <w:bottom w:w="28" w:type="dxa"/>
          <w:right w:w="28" w:type="dxa"/>
        </w:tblCellMar>
      </w:tblPr>
      <w:tblGrid>
        <w:gridCol w:w="2641"/>
        <w:gridCol w:w="146"/>
        <w:gridCol w:w="146"/>
        <w:gridCol w:w="781"/>
        <w:gridCol w:w="146"/>
        <w:gridCol w:w="146"/>
        <w:gridCol w:w="146"/>
        <w:gridCol w:w="676"/>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Placement agent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Derivative Financial Instruments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 Bifurcated embedded derivatives are classified with the related host contract in the Company’s balance sheet. Refer to </w:t>
      </w:r>
      <w:r>
        <w:rPr>
          <w:rFonts w:ascii="Times New Roman" w:hAnsi="Times New Roman"/>
          <w:i/>
          <w:color w:val="000000"/>
          <w:sz w:val="20"/>
        </w:rPr>
        <w:t>Note 7 - Fair Value Measurements</w:t>
      </w:r>
      <w:r>
        <w:rPr>
          <w:rFonts w:ascii="Times New Roman" w:hAnsi="Times New Roman"/>
          <w:color w:val="000000"/>
          <w:sz w:val="20"/>
        </w:rPr>
        <w:t xml:space="preserve"> and </w:t>
      </w:r>
      <w:r>
        <w:rPr>
          <w:rFonts w:ascii="Times New Roman" w:hAnsi="Times New Roman"/>
          <w:i/>
          <w:color w:val="000000"/>
          <w:sz w:val="20"/>
        </w:rPr>
        <w:t>Note 13 - Debt</w:t>
      </w:r>
      <w:r>
        <w:rPr>
          <w:rFonts w:ascii="Times New Roman" w:hAnsi="Times New Roman"/>
          <w:color w:val="000000"/>
          <w:sz w:val="20"/>
        </w:rPr>
        <w:t xml:space="preserve"> for further detail.</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Bridge Notes and </w:t>
      </w:r>
      <w:r>
        <w:rPr>
          <w:rFonts w:ascii="Times New Roman" w:hAnsi="Times New Roman"/>
          <w:b/>
          <w:i/>
          <w:color w:val="212529"/>
          <w:sz w:val="20"/>
        </w:rPr>
        <w:t>Private Placement Convertible Notes</w:t>
      </w:r>
      <w:r>
        <w:rPr>
          <w:rFonts w:ascii="Times New Roman" w:hAnsi="Times New Roman"/>
          <w:color w:val="000000"/>
          <w:sz w:val="20"/>
        </w:rPr>
        <w:t xml:space="preserve"> </w:t>
      </w:r>
      <w:r>
        <w:rPr>
          <w:rFonts w:ascii="Times New Roman" w:hAnsi="Times New Roman"/>
          <w:b/>
          <w:i/>
          <w:color w:val="000000"/>
          <w:sz w:val="20"/>
        </w:rPr>
        <w:t>- Fair Value Option Election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determined the Agile Notes and 1800 Diagonal Notes (The "Bridge Notes") and the </w:t>
      </w:r>
      <w:r>
        <w:rPr>
          <w:rFonts w:ascii="Times New Roman" w:hAnsi="Times New Roman"/>
          <w:color w:val="212529"/>
          <w:sz w:val="20"/>
        </w:rPr>
        <w:t>Private Placement Convertible Notes</w:t>
      </w:r>
      <w:r>
        <w:rPr>
          <w:rFonts w:ascii="Times New Roman" w:hAnsi="Times New Roman"/>
          <w:color w:val="000000"/>
          <w:sz w:val="20"/>
        </w:rPr>
        <w:t xml:space="preserve"> (as defined in </w:t>
      </w:r>
      <w:r>
        <w:rPr>
          <w:rFonts w:ascii="Times New Roman" w:hAnsi="Times New Roman"/>
          <w:i/>
          <w:color w:val="000000"/>
          <w:sz w:val="20"/>
        </w:rPr>
        <w:t>Note 13</w:t>
      </w:r>
      <w:r>
        <w:rPr>
          <w:rFonts w:ascii="Times New Roman" w:hAnsi="Times New Roman"/>
          <w:color w:val="000000"/>
          <w:sz w:val="20"/>
        </w:rPr>
        <w:t xml:space="preserve">) were eligible for the fair value option, in accordance with ASC 825-10-50-28, and made such election to account for the Bridge Notes and </w:t>
      </w:r>
      <w:r>
        <w:rPr>
          <w:rFonts w:ascii="Times New Roman" w:hAnsi="Times New Roman"/>
          <w:color w:val="212529"/>
          <w:sz w:val="20"/>
        </w:rPr>
        <w:t>Private Placement Convertible Notes</w:t>
      </w:r>
      <w:r>
        <w:rPr>
          <w:rFonts w:ascii="Times New Roman" w:hAnsi="Times New Roman"/>
          <w:color w:val="000000"/>
          <w:sz w:val="20"/>
        </w:rPr>
        <w:t xml:space="preserve"> at fair value. 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Company records the portion of the Bridge Notes and </w:t>
      </w:r>
      <w:r>
        <w:rPr>
          <w:rFonts w:ascii="Times New Roman" w:hAnsi="Times New Roman"/>
          <w:color w:val="212529"/>
          <w:sz w:val="20"/>
        </w:rPr>
        <w:t>Private Placement Convertible Notes</w:t>
      </w:r>
      <w:r>
        <w:rPr>
          <w:rFonts w:ascii="Times New Roman" w:hAnsi="Times New Roman"/>
          <w:color w:val="000000"/>
          <w:sz w:val="20"/>
        </w:rPr>
        <w:t xml:space="preserve"> that are issued and outstanding for accounting purposes at fair value with changes in fair value recorded in other income (expense), net in the condensed consolidated statement of operations, except for the portion of the total change in fair value that results from a change in the instrument-specific credit risk of the Bridge Notes and </w:t>
      </w:r>
      <w:r>
        <w:rPr>
          <w:rFonts w:ascii="Times New Roman" w:hAnsi="Times New Roman"/>
          <w:color w:val="212529"/>
          <w:sz w:val="20"/>
        </w:rPr>
        <w:t>Private Placement Convertible Notes</w:t>
      </w:r>
      <w:r>
        <w:rPr>
          <w:rFonts w:ascii="Times New Roman" w:hAnsi="Times New Roman"/>
          <w:color w:val="000000"/>
          <w:sz w:val="20"/>
        </w:rPr>
        <w:t xml:space="preserve">, which is recorded in other comprehensive income (loss), if applicable. The fair value option election was made to align the accounting for the Bridge Notes and </w:t>
      </w:r>
      <w:r>
        <w:rPr>
          <w:rFonts w:ascii="Times New Roman" w:hAnsi="Times New Roman"/>
          <w:color w:val="212529"/>
          <w:sz w:val="20"/>
        </w:rPr>
        <w:t>Private Placement Convertible Notes</w:t>
      </w:r>
      <w:r>
        <w:rPr>
          <w:rFonts w:ascii="Times New Roman" w:hAnsi="Times New Roman"/>
          <w:color w:val="000000"/>
          <w:sz w:val="20"/>
        </w:rPr>
        <w:t xml:space="preserve"> with the Company's financial reporting objectives and reduce operational effort to account for embedded features that otherwise would require bifurcation as a separate unit of account.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Pursuant to the fair value option election, direct and incremental debt issuance costs and consideration paid to the lender related to the Bridge Notes and </w:t>
      </w:r>
      <w:r>
        <w:rPr>
          <w:rFonts w:ascii="Times New Roman" w:hAnsi="Times New Roman"/>
          <w:color w:val="212529"/>
          <w:sz w:val="20"/>
        </w:rPr>
        <w:t xml:space="preserve">Private Placement Convertible Notes </w:t>
      </w:r>
      <w:r>
        <w:rPr>
          <w:rFonts w:ascii="Times New Roman" w:hAnsi="Times New Roman"/>
          <w:color w:val="000000"/>
          <w:sz w:val="20"/>
        </w:rPr>
        <w:t xml:space="preserve">were expensed as incurred and recorded in other income (expense), net in the condensed consolidated statements of operations. Measurement of the change in fair value of the Bridge Notes and </w:t>
      </w:r>
      <w:r>
        <w:rPr>
          <w:rFonts w:ascii="Times New Roman" w:hAnsi="Times New Roman"/>
          <w:color w:val="212529"/>
          <w:sz w:val="20"/>
        </w:rPr>
        <w:t>Private Placement Convertible Notes</w:t>
      </w:r>
      <w:r>
        <w:rPr>
          <w:rFonts w:ascii="Times New Roman" w:hAnsi="Times New Roman"/>
          <w:color w:val="000000"/>
          <w:sz w:val="20"/>
        </w:rPr>
        <w:t xml:space="preserve"> includes accrued interest, whether paid-in-kind or cash.</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accordance with FASB ASC 820 </w:t>
      </w:r>
      <w:r>
        <w:rPr>
          <w:rFonts w:ascii="Times New Roman" w:hAnsi="Times New Roman"/>
          <w:i/>
          <w:color w:val="000000"/>
          <w:sz w:val="20"/>
        </w:rPr>
        <w:t>Fair Value Measurements and Disclosures</w:t>
      </w:r>
      <w:r>
        <w:rPr>
          <w:rFonts w:ascii="Times New Roman" w:hAnsi="Times New Roman"/>
          <w:color w:val="000000"/>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Inputs other than Level 1 prices for similar assets or liabilities that are directly or indirectly observable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fair value measurements discussed herein are based upon certain market assumptions and pertinent information available to management during the three and six months ended June 30, 2025 and 2024. The carrying amount of cash, accounts receivable, prepaid expenses and other current assets, accounts payable, accrued expenses, deferred revenue, and other current liabilities approximated their fair values as of June 30, 2025 and December 31, 2024.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amendments are effective for annual periods beginning after December 15, 2024. Early adoption is permitted and should be applied prospectively. The Company is currently evaluating the effect of adopting this guidance on its consolidated financial statements.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Disaggregation of Income Statement Expenses (Subtopic 220-40)</w:t>
      </w:r>
      <w:r>
        <w:rPr>
          <w:rFonts w:ascii="Times New Roman" w:hAnsi="Times New Roman"/>
          <w:color w:val="000000"/>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2025, The Financial Accounting Standards Board (“FASB”) issued Accounting Standards Update (“ASU”) 2025-05, “Financial Instruments-Credit Losses (Topic 326): Measurement of Credit Losses for Accounts Receivable and Contract Assets”, which provides a practical expedient to measure credit losses on accounts receivable and contract assets. This guidance is effective for periods beginning after December 15, 2025 and will be adopted prospectively. Early adoption is permitted. The Company is currently evaluating the impact of this guidance on our consolidated financial statements and related disclosures.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xml:space="preserve">. The amendments improve reportable segment disclosure requirements through enhanced disclosures over significant segment expenses regularly provided to the Chief Operating Decision Maker ("CODM"), extending certain annual disclosures to interim periods, and through permitting more than one measure of segment profit or loss to be reported under certain conditions. The Company adopted this guidance effective December 31, 2024, on a retrospective basis. Refer to </w:t>
      </w:r>
      <w:r>
        <w:rPr>
          <w:rFonts w:ascii="Times New Roman" w:hAnsi="Times New Roman"/>
          <w:i/>
          <w:color w:val="000000"/>
          <w:sz w:val="20"/>
        </w:rPr>
        <w:t>Note 19</w:t>
      </w:r>
      <w:r>
        <w:rPr>
          <w:rFonts w:ascii="Times New Roman" w:hAnsi="Times New Roman"/>
          <w:color w:val="000000"/>
          <w:sz w:val="20"/>
        </w:rPr>
        <w:t xml:space="preserve"> for further information.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Acquisition of Vidello</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31, 2025, the Company closed a previously announced merger with Vidello Limited ("Vidello"), a private limited company registered in England and Wales (the "Vidello Merger"), pursuant to a Merger Agreement (the "Vidello Merger Agreement"), dated December 19, 2024, by and among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$2,745,031 in cash (the "Vidello Cash Consideration"), whereby $2,500,000 are withheld for indemnification expenses and other holdback provisions in accordance with the Vidello Merger Agreement, and issued 89,820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respect to the holdback amount, this consists of three distinct components, being (1) the withholding of $1,000,000 as security for the obligations of Company Shareholders for a period of twelve months (the “Indemnification Holdback Amount”), (2) the withholding of $500,000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$1,000,000 subject to certain revenue related conditions being met during the 180 day period following the Closing (the “Revenue Holdback Amount” and together with the Indemnification Holdback Amount and the Transition Holdback Amount, the “Holdback Amount”).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incurred transaction costs of approximately $730,000 which are included in the Company’s condensed consolidated statement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Vidello Merger was accounted for as a business combination under the acquisition method pursuant to Accounting Standards Codification Topic 805, </w:t>
      </w:r>
      <w:r>
        <w:rPr>
          <w:rFonts w:ascii="Times New Roman" w:hAnsi="Times New Roman"/>
          <w:i/>
          <w:color w:val="000000"/>
          <w:sz w:val="20"/>
        </w:rPr>
        <w:t>Business Combinations</w:t>
      </w:r>
      <w:r>
        <w:rPr>
          <w:rFonts w:ascii="Times New Roman" w:hAnsi="Times New Roman"/>
          <w:color w:val="000000"/>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preliminary fair value of the consideration transferred totaled $6,267,747 summarized as follows:</w:t>
      </w:r>
    </w:p>
    <w:p>
      <w:pPr>
        <w:pStyle w:val="TextBody"/>
        <w:bidi w:val="0"/>
        <w:jc w:val="left"/>
        <w:rPr/>
      </w:pPr>
      <w:r>
        <w:rPr/>
        <w:t> </w:t>
      </w:r>
    </w:p>
    <w:tbl>
      <w:tblPr>
        <w:tblW w:w="5365" w:type="dxa"/>
        <w:jc w:val="left"/>
        <w:tblInd w:w="0" w:type="dxa"/>
        <w:tblLayout w:type="fixed"/>
        <w:tblCellMar>
          <w:top w:w="28" w:type="dxa"/>
          <w:left w:w="28" w:type="dxa"/>
          <w:bottom w:w="28" w:type="dxa"/>
          <w:right w:w="28" w:type="dxa"/>
        </w:tblCellMar>
      </w:tblPr>
      <w:tblGrid>
        <w:gridCol w:w="3886"/>
        <w:gridCol w:w="146"/>
        <w:gridCol w:w="211"/>
        <w:gridCol w:w="931"/>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at closing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2,745,031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to Vidello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1,661,677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Holdback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1,861,039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6,267,747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made a provisional allocation of the purchase price of the Vidello Merger to the assets acquired and liabilities assumed as of the acquisition date. The following table summarizes the provisional purchase price allocation relating to the Vidello Merger:</w:t>
      </w:r>
    </w:p>
    <w:p>
      <w:pPr>
        <w:pStyle w:val="TextBody"/>
        <w:bidi w:val="0"/>
        <w:jc w:val="left"/>
        <w:rPr/>
      </w:pPr>
      <w:r>
        <w:rPr/>
        <w:t> </w:t>
      </w:r>
    </w:p>
    <w:tbl>
      <w:tblPr>
        <w:tblW w:w="5830" w:type="dxa"/>
        <w:jc w:val="left"/>
        <w:tblInd w:w="0" w:type="dxa"/>
        <w:tblLayout w:type="fixed"/>
        <w:tblCellMar>
          <w:top w:w="28" w:type="dxa"/>
          <w:left w:w="28" w:type="dxa"/>
          <w:bottom w:w="28" w:type="dxa"/>
          <w:right w:w="28" w:type="dxa"/>
        </w:tblCellMar>
      </w:tblPr>
      <w:tblGrid>
        <w:gridCol w:w="4351"/>
        <w:gridCol w:w="146"/>
        <w:gridCol w:w="211"/>
        <w:gridCol w:w="931"/>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Vidello -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Vidello - 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Vidello - 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5,373,926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Unearned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2,125,425</w:t>
            </w:r>
          </w:p>
        </w:tc>
        <w:tc>
          <w:tcPr>
            <w:tcW w:w="1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3,248,501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 recorded: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3,019,246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6,267,747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the date these condensed consolidated financial statements were issued, the purchase accounting related to this acquisition was incomplete as certain working capital balances were subject to potential change. The Company has reflected the provisional amounts in these condensed consolidated financial statements. As such, the above balances may be adjusted in a future period, not to exceed one (1) year from the acquisition date pursuant to ASC 805, as the Company finalizes and/or updates for any identified working capital adjustments, which may be material to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intangible assets acquired are subject to amortization and their associated estimated acquisition date fair values are as follows:</w:t>
      </w:r>
    </w:p>
    <w:p>
      <w:pPr>
        <w:pStyle w:val="TextBody"/>
        <w:bidi w:val="0"/>
        <w:jc w:val="left"/>
        <w:rPr/>
      </w:pPr>
      <w:r>
        <w:rPr/>
        <w:t> </w:t>
      </w:r>
    </w:p>
    <w:tbl>
      <w:tblPr>
        <w:tblW w:w="5840" w:type="dxa"/>
        <w:jc w:val="left"/>
        <w:tblInd w:w="0" w:type="dxa"/>
        <w:tblLayout w:type="fixed"/>
        <w:tblCellMar>
          <w:top w:w="28" w:type="dxa"/>
          <w:left w:w="28" w:type="dxa"/>
          <w:bottom w:w="28" w:type="dxa"/>
          <w:right w:w="28" w:type="dxa"/>
        </w:tblCellMar>
      </w:tblPr>
      <w:tblGrid>
        <w:gridCol w:w="2836"/>
        <w:gridCol w:w="146"/>
        <w:gridCol w:w="1021"/>
        <w:gridCol w:w="146"/>
        <w:gridCol w:w="203"/>
        <w:gridCol w:w="1297"/>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Acquisition 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 - Customer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 - 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 - Technology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7 - 8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income in the Condensed Consolidated Statement of Operations for the three and six months ended June 30, 2025 includes net income of approximately $163 thousand and $484 thousand, respectively, of Vidello from the date of acquisition to June 30,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 forma disclosure for the Vidello acquisition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unaudited pro forma financial information reflects the consolidated results of operations of the Company as if the Merger with Vidello had taken place on January 1, 2024.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 forma financial information is not necessarily indicative of the results of operations as they would have been had the transactions been effected on the assumed date:</w:t>
      </w:r>
    </w:p>
    <w:p>
      <w:pPr>
        <w:pStyle w:val="TextBody"/>
        <w:bidi w:val="0"/>
        <w:jc w:val="left"/>
        <w:rPr/>
      </w:pPr>
      <w:r>
        <w:rPr/>
        <w:t> </w:t>
      </w:r>
    </w:p>
    <w:tbl>
      <w:tblPr>
        <w:tblW w:w="8416" w:type="dxa"/>
        <w:jc w:val="left"/>
        <w:tblInd w:w="0" w:type="dxa"/>
        <w:tblLayout w:type="fixed"/>
        <w:tblCellMar>
          <w:top w:w="28" w:type="dxa"/>
          <w:left w:w="28" w:type="dxa"/>
          <w:bottom w:w="28" w:type="dxa"/>
          <w:right w:w="28" w:type="dxa"/>
        </w:tblCellMar>
      </w:tblPr>
      <w:tblGrid>
        <w:gridCol w:w="5191"/>
        <w:gridCol w:w="222"/>
        <w:gridCol w:w="1153"/>
        <w:gridCol w:w="174"/>
        <w:gridCol w:w="153"/>
        <w:gridCol w:w="222"/>
        <w:gridCol w:w="1090"/>
        <w:gridCol w:w="211"/>
      </w:tblGrid>
      <w:tr>
        <w:trPr/>
        <w:tc>
          <w:tcPr>
            <w:tcW w:w="519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6,871,768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5,954,361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1,350,969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1,148,263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15,166,475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10,409,984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 net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1,982,364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1,465,202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 attributable to common stockholders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(11,628,040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(7,069,088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5. Related Party Transactions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Due to Related Party of 7GC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2023, the Sponsor paid certain expenses on behalf of 7GC. Upon Closing of the Merger, Banzai assumed the $67,118 liability. As of June 30, 2025, the entire balance remained outstanding and is included within due to related party under current liabilities on the accompanying condensed consolidated balance sheet.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Legacy Banzai Related Party Transactions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During 2023, Legacy Banzai issued Promissory Notes and Convertible Notes to related parties. See </w:t>
      </w:r>
      <w:r>
        <w:rPr>
          <w:rFonts w:ascii="Times New Roman" w:hAnsi="Times New Roman"/>
          <w:i/>
          <w:color w:val="000000"/>
          <w:sz w:val="20"/>
        </w:rPr>
        <w:t xml:space="preserve">Note 13 - Debt </w:t>
      </w:r>
      <w:r>
        <w:rPr>
          <w:rFonts w:ascii="Times New Roman" w:hAnsi="Times New Roman"/>
          <w:color w:val="000000"/>
          <w:sz w:val="20"/>
        </w:rPr>
        <w:t>for further details related to these transactions and associated balances.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Debt Restructuring Agreement with CPBF</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September 5, 2024, the Company and CP BF agreed to amend the outstanding balance of all debt previously in the form of one term note and two convertible notes into 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 w:hAnsi="Times New Roman"/>
          <w:i/>
          <w:color w:val="000000"/>
          <w:sz w:val="20"/>
        </w:rPr>
        <w:t>Note 13 - Debt</w:t>
      </w:r>
      <w:r>
        <w:rPr>
          <w:rFonts w:ascii="Times New Roman" w:hAnsi="Times New Roman"/>
          <w:color w:val="000000"/>
          <w:sz w:val="20"/>
        </w:rPr>
        <w:t>, for further details related to the transaction and associated balances.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Due to Related Party of Company CEO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12, 2024, the CEO of the Company loaned the Company an advance of $100,000. The advance is non-interest bearing, and matures one year from issuance. As of June 30, 2025, the entire balance remained outstanding and is included within due to related party under current liabilities on the accompanying condensed consolidated balance sheet.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ASC 606, revenue is recognized throughout the life of the executed agreement. The Company measures revenue based on considerations specified in terms and conditions agreed to by a customer. Furthermore, the Company recognizes revenue when a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services include providing end-to-end video engagement solutions that provide a fast, intuitive and powerful platform of marketing tools that create more intent-driven videos, webinars, virtual events and other digital and in-person marketing campaigns.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noted within the SOW’s and invoices, agreements range from monthly, to annual, to multi-year and Banzai generally provides for net 30-day payment terms with the payment made directly through check or electronic means.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Banzai’s Management believes its exposure to credit risk is sufficiently mitigated by collection through credit card sales or direct payment from established clients.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follows the provisions of ASC 606, under which the Company recognizes revenue when the customer obtains control of promised goods or services, in an amount that reflects the consideration which is expected to be received in exchange for those goods or services. The Company recognize revenues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Sales, value add, and other taxes collected on behalf of third parties are excluded from revenue.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Nature of Products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Demio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Reach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OpenReel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receipt of invoice for customers on multi-year subscription agreement contracts. It is nearly 100% certain that a significant revenue reversal will not occur.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Vidello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 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Service Trade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one customer for which the customer is also a vendor. For this one customer, the Company exchanged services for approximately $177,000 and $302,055, during the six months ended June 30, 2025 and 2024,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revenue by region based on the billing address of customers for the three months ended June 30, 2025 and 2024:</w:t>
      </w:r>
    </w:p>
    <w:p>
      <w:pPr>
        <w:pStyle w:val="TextBody"/>
        <w:bidi w:val="0"/>
        <w:spacing w:before="2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810"/>
        <w:gridCol w:w="146"/>
        <w:gridCol w:w="211"/>
        <w:gridCol w:w="931"/>
        <w:gridCol w:w="146"/>
        <w:gridCol w:w="146"/>
        <w:gridCol w:w="442"/>
        <w:gridCol w:w="1280"/>
        <w:gridCol w:w="271"/>
        <w:gridCol w:w="146"/>
        <w:gridCol w:w="211"/>
        <w:gridCol w:w="931"/>
        <w:gridCol w:w="146"/>
        <w:gridCol w:w="146"/>
        <w:gridCol w:w="442"/>
        <w:gridCol w:w="1280"/>
        <w:gridCol w:w="520"/>
      </w:tblGrid>
      <w:tr>
        <w:trPr/>
        <w:tc>
          <w:tcPr>
            <w:tcW w:w="2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revenue by region based on the billing address of customers for the six months ended June 30, 2025 and 2024:</w:t>
      </w:r>
    </w:p>
    <w:p>
      <w:pPr>
        <w:pStyle w:val="TextBody"/>
        <w:bidi w:val="0"/>
        <w:spacing w:before="0" w:after="2"/>
        <w:jc w:val="both"/>
        <w:rPr/>
      </w:pPr>
      <w:r>
        <w:rPr/>
        <w:t> </w:t>
      </w:r>
    </w:p>
    <w:tbl>
      <w:tblPr>
        <w:tblW w:w="10205" w:type="dxa"/>
        <w:jc w:val="left"/>
        <w:tblInd w:w="0" w:type="dxa"/>
        <w:tblLayout w:type="fixed"/>
        <w:tblCellMar>
          <w:top w:w="28" w:type="dxa"/>
          <w:left w:w="28" w:type="dxa"/>
          <w:bottom w:w="28" w:type="dxa"/>
          <w:right w:w="28" w:type="dxa"/>
        </w:tblCellMar>
      </w:tblPr>
      <w:tblGrid>
        <w:gridCol w:w="2810"/>
        <w:gridCol w:w="146"/>
        <w:gridCol w:w="211"/>
        <w:gridCol w:w="931"/>
        <w:gridCol w:w="146"/>
        <w:gridCol w:w="146"/>
        <w:gridCol w:w="442"/>
        <w:gridCol w:w="1280"/>
        <w:gridCol w:w="271"/>
        <w:gridCol w:w="146"/>
        <w:gridCol w:w="211"/>
        <w:gridCol w:w="931"/>
        <w:gridCol w:w="146"/>
        <w:gridCol w:w="146"/>
        <w:gridCol w:w="442"/>
        <w:gridCol w:w="1280"/>
        <w:gridCol w:w="520"/>
      </w:tblGrid>
      <w:tr>
        <w:trPr/>
        <w:tc>
          <w:tcPr>
            <w:tcW w:w="2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6,641,333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jc w:val="both"/>
        <w:rPr/>
      </w:pPr>
      <w:r>
        <w:rPr/>
        <w:t> </w:t>
      </w:r>
    </w:p>
    <w:tbl>
      <w:tblPr>
        <w:tblW w:w="9419" w:type="dxa"/>
        <w:jc w:val="left"/>
        <w:tblInd w:w="0" w:type="dxa"/>
        <w:tblLayout w:type="fixed"/>
        <w:tblCellMar>
          <w:top w:w="28" w:type="dxa"/>
          <w:left w:w="28" w:type="dxa"/>
          <w:bottom w:w="28" w:type="dxa"/>
          <w:right w:w="28" w:type="dxa"/>
        </w:tblCellMar>
      </w:tblPr>
      <w:tblGrid>
        <w:gridCol w:w="2116"/>
        <w:gridCol w:w="146"/>
        <w:gridCol w:w="332"/>
        <w:gridCol w:w="1228"/>
        <w:gridCol w:w="146"/>
        <w:gridCol w:w="146"/>
        <w:gridCol w:w="316"/>
        <w:gridCol w:w="1169"/>
        <w:gridCol w:w="146"/>
        <w:gridCol w:w="146"/>
        <w:gridCol w:w="332"/>
        <w:gridCol w:w="1228"/>
        <w:gridCol w:w="146"/>
        <w:gridCol w:w="146"/>
        <w:gridCol w:w="353"/>
        <w:gridCol w:w="1132"/>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Closing Balance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Costs to Obtain a Contract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Sales commissions, the principal costs incurred to obtain a contract, are earned when the contract is executed. Management has capitalized these costs and amortized the commission expense over time in accordance with the related contract's term. For the six months ended June 30, 2025 and 2024, commission expenses were $269,172 and $270,335, respectively. Certain commission expenses are not capitalized and are instead directly expensed.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Capitalized commissions at June 30, 2025 and December 31, 2024 were $52,616 and $31,504, respectively, and are included within prepaid expenses and other current assets on the condensed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summarizes the costs to obtain a contract activity during the three and six months ended June 30, 2025:</w:t>
      </w:r>
    </w:p>
    <w:p>
      <w:pPr>
        <w:pStyle w:val="TextBody"/>
        <w:bidi w:val="0"/>
        <w:jc w:val="both"/>
        <w:rPr/>
      </w:pPr>
      <w:r>
        <w:rPr/>
        <w:t> </w:t>
      </w:r>
    </w:p>
    <w:tbl>
      <w:tblPr>
        <w:tblW w:w="4655" w:type="dxa"/>
        <w:jc w:val="left"/>
        <w:tblInd w:w="0" w:type="dxa"/>
        <w:tblLayout w:type="fixed"/>
        <w:tblCellMar>
          <w:top w:w="28" w:type="dxa"/>
          <w:left w:w="28" w:type="dxa"/>
          <w:bottom w:w="28" w:type="dxa"/>
          <w:right w:w="28" w:type="dxa"/>
        </w:tblCellMar>
      </w:tblPr>
      <w:tblGrid>
        <w:gridCol w:w="3171"/>
        <w:gridCol w:w="146"/>
        <w:gridCol w:w="211"/>
        <w:gridCol w:w="736"/>
        <w:gridCol w:w="391"/>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summarizes the costs to obtain a contract activity during the three and six months ended June 30, 2024: </w:t>
      </w:r>
    </w:p>
    <w:p>
      <w:pPr>
        <w:pStyle w:val="TextBody"/>
        <w:bidi w:val="0"/>
        <w:jc w:val="left"/>
        <w:rPr/>
      </w:pPr>
      <w:r>
        <w:rPr/>
        <w:t> </w:t>
      </w:r>
    </w:p>
    <w:tbl>
      <w:tblPr>
        <w:tblW w:w="4855" w:type="dxa"/>
        <w:jc w:val="left"/>
        <w:tblInd w:w="0" w:type="dxa"/>
        <w:tblLayout w:type="fixed"/>
        <w:tblCellMar>
          <w:top w:w="28" w:type="dxa"/>
          <w:left w:w="28" w:type="dxa"/>
          <w:bottom w:w="28" w:type="dxa"/>
          <w:right w:w="28" w:type="dxa"/>
        </w:tblCellMar>
      </w:tblPr>
      <w:tblGrid>
        <w:gridCol w:w="3171"/>
        <w:gridCol w:w="346"/>
        <w:gridCol w:w="211"/>
        <w:gridCol w:w="736"/>
        <w:gridCol w:w="391"/>
      </w:tblGrid>
      <w:tr>
        <w:trPr/>
        <w:tc>
          <w:tcPr>
            <w:tcW w:w="31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measurements discussed herein are based upon certain market assumptions and pertinent information available to management as of and during the periods ended June 30, 2025 and the year ended December 31, 2024. The carrying amount of accounts payable approximated fair value as they are short term in nature.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on a Recurring Basis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follows the guidance in ASC 820 </w:t>
      </w:r>
      <w:r>
        <w:rPr>
          <w:rFonts w:ascii="Times New Roman" w:hAnsi="Times New Roman"/>
          <w:i/>
          <w:color w:val="000000"/>
          <w:sz w:val="20"/>
        </w:rPr>
        <w:t>Fair Value Measurements and Disclosures</w:t>
      </w:r>
      <w:r>
        <w:rPr>
          <w:rFonts w:ascii="Times New Roman" w:hAnsi="Times New Roman"/>
          <w:color w:val="000000"/>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and Goodwill and Definite-lived intangible assets recognized as part of acquisitions, represent Level 3 measurements.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information about the Company’s financial instruments that are measured at fair value on a recurring basis at June 30, 2025 and December 31, 2024, and indicates the fair value hierarchy of the valuation inputs the Company utilized to determine such fair value: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07" w:type="dxa"/>
        <w:jc w:val="left"/>
        <w:tblInd w:w="0" w:type="dxa"/>
        <w:tblLayout w:type="fixed"/>
        <w:tblCellMar>
          <w:top w:w="28" w:type="dxa"/>
          <w:left w:w="28" w:type="dxa"/>
          <w:bottom w:w="28" w:type="dxa"/>
          <w:right w:w="28" w:type="dxa"/>
        </w:tblCellMar>
      </w:tblPr>
      <w:tblGrid>
        <w:gridCol w:w="4336"/>
        <w:gridCol w:w="146"/>
        <w:gridCol w:w="586"/>
        <w:gridCol w:w="146"/>
        <w:gridCol w:w="1276"/>
        <w:gridCol w:w="146"/>
        <w:gridCol w:w="177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Definite-lived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$3,903,320</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Definite-lived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$3,883,853</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 - Vidello (</w:t>
            </w:r>
            <w:r>
              <w:rPr>
                <w:rFonts w:ascii="Times New Roman" w:hAnsi="Times New Roman"/>
                <w:i/>
                <w:color w:val="000000"/>
                <w:sz w:val="20"/>
              </w:rPr>
              <w:t>Note 4</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$21,991,721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$18,972,475</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 - public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$3,143,000</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1800 Diagonal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$432,000</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Certain assets measured at the acquisition date.</w:t>
      </w:r>
    </w:p>
    <w:p>
      <w:pPr>
        <w:pStyle w:val="TextBody"/>
        <w:bidi w:val="0"/>
        <w:jc w:val="both"/>
        <w:rPr>
          <w:rFonts w:ascii="Times New Roman" w:hAnsi="Times New Roman"/>
          <w:color w:val="000000"/>
          <w:sz w:val="20"/>
        </w:rPr>
      </w:pPr>
      <w:r>
        <w:rPr>
          <w:rFonts w:ascii="Times New Roman" w:hAnsi="Times New Roman"/>
          <w:color w:val="000000"/>
          <w:sz w:val="20"/>
        </w:rPr>
        <w:t>** Measured at period-end.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Public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assumed Public Warrants in the Merger, exercisable into 23,000 shares of Common A Common Stock, which were outstanding as of June 30, 2025 and December 31, 2024. The fair values of the Public Warrants are measured based on the listed market price of such warrants through June 30, 2025. See </w:t>
      </w:r>
      <w:r>
        <w:rPr>
          <w:rFonts w:ascii="Times New Roman" w:hAnsi="Times New Roman"/>
          <w:i/>
          <w:color w:val="000000"/>
          <w:sz w:val="20"/>
        </w:rPr>
        <w:t xml:space="preserve">Note 14 - Warrant Liabilities </w:t>
      </w:r>
      <w:r>
        <w:rPr>
          <w:rFonts w:ascii="Times New Roman" w:hAnsi="Times New Roman"/>
          <w:color w:val="000000"/>
          <w:sz w:val="20"/>
        </w:rPr>
        <w:t>for further details.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six months ended, June 30, 2025, the Company recognized a loss of approximately $2,300 resulting from changes in the fair value of the derivative warrant liabilities, presented as change in fair value of warrant liabilities - related party in the accompanying condensed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set forth a summary of the changes in the fair value of the Public Warrants liability which are Level 1 financial liabilities that are measured at fair value on a recurring basis:</w:t>
      </w:r>
    </w:p>
    <w:p>
      <w:pPr>
        <w:pStyle w:val="TextBody"/>
        <w:bidi w:val="0"/>
        <w:jc w:val="both"/>
        <w:rPr/>
      </w:pPr>
      <w:r>
        <w:rPr/>
        <w:t> </w:t>
      </w:r>
    </w:p>
    <w:tbl>
      <w:tblPr>
        <w:tblW w:w="3953" w:type="dxa"/>
        <w:jc w:val="left"/>
        <w:tblInd w:w="0" w:type="dxa"/>
        <w:tblLayout w:type="fixed"/>
        <w:tblCellMar>
          <w:top w:w="28" w:type="dxa"/>
          <w:left w:w="28" w:type="dxa"/>
          <w:bottom w:w="28" w:type="dxa"/>
          <w:right w:w="28" w:type="dxa"/>
        </w:tblCellMar>
      </w:tblPr>
      <w:tblGrid>
        <w:gridCol w:w="2596"/>
        <w:gridCol w:w="146"/>
        <w:gridCol w:w="275"/>
        <w:gridCol w:w="745"/>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GEM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measurement of fair value of the GEM Warrants were determined utilizing a Monte Carlo simulation considering all relevant assumptions current at the date of issuance (i.e., share price, exercise price, term, volatility, risk-free rate, probability of dilutive term of three years, and expected time to conversion). Refer to </w:t>
      </w:r>
      <w:r>
        <w:rPr>
          <w:rFonts w:ascii="Times New Roman" w:hAnsi="Times New Roman"/>
          <w:i/>
          <w:color w:val="000000"/>
          <w:sz w:val="20"/>
        </w:rPr>
        <w:t>Note 14 - Warrant Liabilities</w:t>
      </w:r>
      <w:r>
        <w:rPr>
          <w:rFonts w:ascii="Times New Roman" w:hAnsi="Times New Roman"/>
          <w:color w:val="000000"/>
          <w:sz w:val="20"/>
        </w:rPr>
        <w:t xml:space="preserve"> for further details.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six months ended, June 30, 2025, the Company recognized a gain of approximately $12,000, resulting from changes in the fair value of the derivative warrant liabilities, presented as change in fair value of warrant liabilities in the accompanying condensed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set forth a summary of the changes in the fair value of the GEM Warrants liability which are Level 3 financial liabilities that are measured at fair value on a recurring basis:</w:t>
      </w:r>
    </w:p>
    <w:p>
      <w:pPr>
        <w:pStyle w:val="TextBody"/>
        <w:bidi w:val="0"/>
        <w:jc w:val="both"/>
        <w:rPr/>
      </w:pPr>
      <w:r>
        <w:rPr/>
        <w:t> </w:t>
      </w:r>
    </w:p>
    <w:tbl>
      <w:tblPr>
        <w:tblW w:w="3973" w:type="dxa"/>
        <w:jc w:val="left"/>
        <w:tblInd w:w="0" w:type="dxa"/>
        <w:tblLayout w:type="fixed"/>
        <w:tblCellMar>
          <w:top w:w="28" w:type="dxa"/>
          <w:left w:w="28" w:type="dxa"/>
          <w:bottom w:w="28" w:type="dxa"/>
          <w:right w:w="28" w:type="dxa"/>
        </w:tblCellMar>
      </w:tblPr>
      <w:tblGrid>
        <w:gridCol w:w="2596"/>
        <w:gridCol w:w="146"/>
        <w:gridCol w:w="242"/>
        <w:gridCol w:w="778"/>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Yorkville Convertible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measurement of fair value of the Yorkville convertible notes were determined utilizing a Monte Carlo simulation considering all relevant assumptions current at the date of issuance (i.e., share price, term, volatility, risk-free rate, and probability of optional redemption). Refer to </w:t>
      </w:r>
      <w:r>
        <w:rPr>
          <w:rFonts w:ascii="Times New Roman" w:hAnsi="Times New Roman"/>
          <w:i/>
          <w:color w:val="000000"/>
          <w:sz w:val="20"/>
        </w:rPr>
        <w:t>Note 13 - Debt</w:t>
      </w:r>
      <w:r>
        <w:rPr>
          <w:rFonts w:ascii="Times New Roman" w:hAnsi="Times New Roman"/>
          <w:color w:val="000000"/>
          <w:sz w:val="20"/>
        </w:rPr>
        <w:t xml:space="preserve"> for further details.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six months ended, June 30, 2025, the Company recognized a loss of approximately $238,000 resulting from changes in the fair value of the Yorkville convertible notes, presented as change in fair value of convertible promissory notes in the accompanying condensed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set forth a summary of the changes in the fair value of the Yorkville convertible notes which is a Level 3 financial liability measured at fair value on a recurring basis:</w:t>
      </w:r>
    </w:p>
    <w:p>
      <w:pPr>
        <w:pStyle w:val="TextBody"/>
        <w:bidi w:val="0"/>
        <w:jc w:val="both"/>
        <w:rPr/>
      </w:pPr>
      <w:r>
        <w:rPr/>
        <w:t> </w:t>
      </w:r>
    </w:p>
    <w:tbl>
      <w:tblPr>
        <w:tblW w:w="5715" w:type="dxa"/>
        <w:jc w:val="left"/>
        <w:tblInd w:w="0" w:type="dxa"/>
        <w:tblLayout w:type="fixed"/>
        <w:tblCellMar>
          <w:top w:w="28" w:type="dxa"/>
          <w:left w:w="28" w:type="dxa"/>
          <w:bottom w:w="28" w:type="dxa"/>
          <w:right w:w="28" w:type="dxa"/>
        </w:tblCellMar>
      </w:tblPr>
      <w:tblGrid>
        <w:gridCol w:w="4156"/>
        <w:gridCol w:w="146"/>
        <w:gridCol w:w="211"/>
        <w:gridCol w:w="991"/>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Yorkville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in cash of Yorkville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Bifurcated Embedded Derivative Assets</w:t>
      </w:r>
    </w:p>
    <w:p>
      <w:pPr>
        <w:pStyle w:val="TextBody"/>
        <w:bidi w:val="0"/>
        <w:spacing w:before="200" w:after="283"/>
        <w:jc w:val="both"/>
        <w:rPr>
          <w:rFonts w:ascii="Times New Roman" w:hAnsi="Times New Roman"/>
          <w:sz w:val="20"/>
        </w:rPr>
      </w:pPr>
      <w:r>
        <w:rPr>
          <w:rFonts w:ascii="Times New Roman" w:hAnsi="Times New Roman"/>
          <w:color w:val="000000"/>
          <w:sz w:val="20"/>
        </w:rPr>
        <w:t>The fair value of the embedded put options, relating to the Convertible Note to CP BF issued on September 23, 2024</w:t>
      </w:r>
      <w:r>
        <w:rPr>
          <w:rFonts w:ascii="Times New Roman" w:hAnsi="Times New Roman"/>
          <w:i/>
          <w:color w:val="000000"/>
          <w:sz w:val="20"/>
        </w:rPr>
        <w:t>,</w:t>
      </w:r>
      <w:r>
        <w:rPr>
          <w:rFonts w:ascii="Times New Roman" w:hAnsi="Times New Roman"/>
          <w:color w:val="000000"/>
          <w:sz w:val="20"/>
        </w:rPr>
        <w:t xml:space="preserve"> was determined using a Black Scholes option pricing model. 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The bifurcated embedded derivative net asset was $1,000 as of June 30, 2025. Refer to </w:t>
      </w:r>
      <w:r>
        <w:rPr>
          <w:rFonts w:ascii="Times New Roman" w:hAnsi="Times New Roman"/>
          <w:i/>
          <w:color w:val="000000"/>
          <w:sz w:val="20"/>
        </w:rPr>
        <w:t>Note 13 - Debt</w:t>
      </w:r>
      <w:r>
        <w:rPr>
          <w:rFonts w:ascii="Times New Roman" w:hAnsi="Times New Roman"/>
          <w:color w:val="000000"/>
          <w:sz w:val="20"/>
        </w:rPr>
        <w:t xml:space="preserve"> for further details.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 summary of the changes in the fair value of the bifurcated embedded derivative asset for the six months ended June 30, 2025, relating to the Convertible Note to CP BF issued on September 23, 2024, which are Level 3 financial liabilities that are measured at fair value on a recurring basis:</w:t>
      </w:r>
    </w:p>
    <w:p>
      <w:pPr>
        <w:pStyle w:val="TextBody"/>
        <w:bidi w:val="0"/>
        <w:jc w:val="both"/>
        <w:rPr/>
      </w:pPr>
      <w:r>
        <w:rPr/>
        <w:t> </w:t>
      </w:r>
    </w:p>
    <w:tbl>
      <w:tblPr>
        <w:tblW w:w="4618" w:type="dxa"/>
        <w:jc w:val="left"/>
        <w:tblInd w:w="0" w:type="dxa"/>
        <w:tblLayout w:type="fixed"/>
        <w:tblCellMar>
          <w:top w:w="28" w:type="dxa"/>
          <w:left w:w="28" w:type="dxa"/>
          <w:bottom w:w="28" w:type="dxa"/>
          <w:right w:w="28" w:type="dxa"/>
        </w:tblCellMar>
      </w:tblPr>
      <w:tblGrid>
        <w:gridCol w:w="2596"/>
        <w:gridCol w:w="146"/>
        <w:gridCol w:w="369"/>
        <w:gridCol w:w="1296"/>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CP BF Convertible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Term Notes (Agile)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July 22, 2024, September 13, 2024, December 12, 2024, March 31, 2025, and June 12, 2025, the Company entered into term loan promissory note agreements with Agile Lending, LLC, and Agile Capital Funding, LLC, as the collateral agent, as discussed further in </w:t>
      </w:r>
      <w:r>
        <w:rPr>
          <w:rFonts w:ascii="Times New Roman" w:hAnsi="Times New Roman"/>
          <w:i/>
          <w:color w:val="000000"/>
          <w:sz w:val="20"/>
        </w:rPr>
        <w:t>Note 13 - Debt</w:t>
      </w:r>
      <w:r>
        <w:rPr>
          <w:rFonts w:ascii="Times New Roman" w:hAnsi="Times New Roman"/>
          <w:color w:val="000000"/>
          <w:sz w:val="20"/>
        </w:rPr>
        <w:t xml:space="preserve"> of the notes to the condensed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Fair value measurements discussed herein are based upon certain market assumptions and pertinent information available to management as of June 30, 2025. The Company classified the Agile Term Notes as a Level 3 fair value measurement and used a discounted cash flow model to calculate the fair values as of June 30, 2025 and December 31, 2024, respectively. Key inputs for the valuation are summarized below. The discounted cash flow model uses inputs such as the contractual term of the note and a market participant interest rate.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range of key inputs at issuance of the Agile term notes and for the period ended June 30, 2025 and December 31, 2024, were as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40" w:type="dxa"/>
        <w:jc w:val="left"/>
        <w:tblInd w:w="0" w:type="dxa"/>
        <w:tblLayout w:type="fixed"/>
        <w:tblCellMar>
          <w:top w:w="28" w:type="dxa"/>
          <w:left w:w="28" w:type="dxa"/>
          <w:bottom w:w="28" w:type="dxa"/>
          <w:right w:w="28" w:type="dxa"/>
        </w:tblCellMar>
      </w:tblPr>
      <w:tblGrid>
        <w:gridCol w:w="2071"/>
        <w:gridCol w:w="146"/>
        <w:gridCol w:w="234"/>
        <w:gridCol w:w="921"/>
        <w:gridCol w:w="272"/>
        <w:gridCol w:w="146"/>
        <w:gridCol w:w="261"/>
        <w:gridCol w:w="1029"/>
        <w:gridCol w:w="271"/>
        <w:gridCol w:w="146"/>
        <w:gridCol w:w="235"/>
        <w:gridCol w:w="920"/>
        <w:gridCol w:w="271"/>
        <w:gridCol w:w="146"/>
        <w:gridCol w:w="235"/>
        <w:gridCol w:w="920"/>
        <w:gridCol w:w="3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2025 Agile Note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2025 Agile Note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Key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12,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13 - Debt</w:t>
      </w:r>
      <w:r>
        <w:rPr>
          <w:rFonts w:ascii="Times New Roman" w:hAnsi="Times New Roman"/>
          <w:color w:val="000000"/>
          <w:sz w:val="20"/>
        </w:rPr>
        <w:t>, for a summary of the changes in the fair value of the Agile term notes which are Level 3 financial liabilities measured at fair value on a recurring basis.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Convertible Notes (1800 Diagonal)</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August 16, 2024, September 24, 2024, December 10, 2024, February 7, 2025, April 17, 2025 and May 9, 2025 the Company entered into convertible promissory notes with 1800 Diagonal Lending, LLC, as discussed further in </w:t>
      </w:r>
      <w:r>
        <w:rPr>
          <w:rFonts w:ascii="Times New Roman" w:hAnsi="Times New Roman"/>
          <w:i/>
          <w:color w:val="000000"/>
          <w:sz w:val="20"/>
        </w:rPr>
        <w:t>Note 13 - Debt</w:t>
      </w:r>
      <w:r>
        <w:rPr>
          <w:rFonts w:ascii="Times New Roman" w:hAnsi="Times New Roman"/>
          <w:color w:val="000000"/>
          <w:sz w:val="20"/>
        </w:rPr>
        <w:t xml:space="preserve"> of the notes to the condensed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Fair value measurements discussed herein are based upon certain market assumptions and pertinent information available to management as of June 30, 2025. The Company classified these notes as Level 3 financial liabilities and used the Black-Scholes option pricing model to calculate the fair values as of June 30, 2025, May 9, 2025, April 17, 2025, March 31, 2025, February 7, 2025 and December 10, 2024. Key inputs for the simulation are summarized below. The Black-Scholes simulation uses inputs such as the stock price, volatility, the contractual term of the note, risk free interest rates and dividend yields.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range of key inputs for the Black-Scholes simulations at issuance of the 1800 Diagonal convertible notes and for the period ended June 30, 2025 and December 31, 2024,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28"/>
        <w:gridCol w:w="146"/>
        <w:gridCol w:w="658"/>
        <w:gridCol w:w="146"/>
        <w:gridCol w:w="987"/>
        <w:gridCol w:w="146"/>
        <w:gridCol w:w="658"/>
        <w:gridCol w:w="146"/>
        <w:gridCol w:w="987"/>
        <w:gridCol w:w="146"/>
        <w:gridCol w:w="658"/>
        <w:gridCol w:w="146"/>
        <w:gridCol w:w="936"/>
        <w:gridCol w:w="146"/>
        <w:gridCol w:w="658"/>
        <w:gridCol w:w="146"/>
        <w:gridCol w:w="734"/>
        <w:gridCol w:w="146"/>
        <w:gridCol w:w="658"/>
        <w:gridCol w:w="146"/>
        <w:gridCol w:w="683"/>
      </w:tblGrid>
      <w:tr>
        <w:trPr/>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September 1800 Diagonal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1800 Diagonal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February 1800 Diagonal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April 1800 Diagonal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May 1800 Diagonal Note</w:t>
            </w:r>
          </w:p>
        </w:tc>
      </w:tr>
      <w:tr>
        <w:trPr/>
        <w:tc>
          <w:tcPr>
            <w:tcW w:w="1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Key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February 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April 17,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May 9, 2025</w:t>
            </w:r>
          </w:p>
        </w:tc>
      </w:tr>
      <w:tr>
        <w:trPr/>
        <w:tc>
          <w:tcPr>
            <w:tcW w:w="1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$9.98</w:t>
            </w:r>
          </w:p>
        </w:tc>
      </w:tr>
      <w:tr>
        <w:trPr/>
        <w:tc>
          <w:tcPr>
            <w:tcW w:w="1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Contractual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0.78</w:t>
            </w:r>
          </w:p>
        </w:tc>
      </w:tr>
      <w:tr>
        <w:trPr/>
        <w:tc>
          <w:tcPr>
            <w:tcW w:w="1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w:t>
            </w:r>
          </w:p>
        </w:tc>
      </w:tr>
      <w:tr>
        <w:trPr/>
        <w:tc>
          <w:tcPr>
            <w:tcW w:w="1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Volatility</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w:t>
            </w:r>
          </w:p>
        </w:tc>
      </w:tr>
      <w:tr>
        <w:trPr/>
        <w:tc>
          <w:tcPr>
            <w:tcW w:w="1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Maturity probability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w:t>
            </w:r>
          </w:p>
        </w:tc>
      </w:tr>
      <w:tr>
        <w:trPr/>
        <w:tc>
          <w:tcPr>
            <w:tcW w:w="1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Default probability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r>
      <w:tr>
        <w:trPr/>
        <w:tc>
          <w:tcPr>
            <w:tcW w:w="1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Company utilized historical equity volatility in measurement of the fair value of the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13 - Debt</w:t>
      </w:r>
      <w:r>
        <w:rPr>
          <w:rFonts w:ascii="Times New Roman" w:hAnsi="Times New Roman"/>
          <w:color w:val="000000"/>
          <w:sz w:val="20"/>
        </w:rPr>
        <w:t>, for a summary of the changes in the fair value of the 1800 Diagonal convertible notes which are Level 3 financial liabilities measured at fair value on a recurring basis.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Private Placement Offering (3i, LP)</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212529"/>
          <w:sz w:val="20"/>
        </w:rPr>
        <w:t xml:space="preserve">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Notes shall be convertible into shares of common stock, par value $0.0001, of the Company (the “Common Stock”) (the shares of Common Stock issuable pursuant to the terms of the Notes, including, without limitation, upon conversion or otherwise, collectively, the “Conversion Shares”), in accordance with the terms of the Notes. The Buyer purchased (i) a Note in the aggregate original principal amount of $11,000,000 and (ii) a warrant to initially acquire up to 67,124 shares of Common Stock (the “Buyer Warrants”) (as exercised, collectively, the “Warrant Shares”). In connection with the Private Placement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w:t>
      </w:r>
      <w:r>
        <w:rPr>
          <w:rFonts w:ascii="Times New Roman" w:hAnsi="Times New Roman"/>
          <w:color w:val="000000"/>
          <w:sz w:val="20"/>
        </w:rPr>
        <w:t xml:space="preserve">Refer to </w:t>
      </w:r>
      <w:r>
        <w:rPr>
          <w:rFonts w:ascii="Times New Roman" w:hAnsi="Times New Roman"/>
          <w:i/>
          <w:color w:val="000000"/>
          <w:sz w:val="20"/>
        </w:rPr>
        <w:t>Note 13 - Debt</w:t>
      </w:r>
      <w:r>
        <w:rPr>
          <w:rFonts w:ascii="Times New Roman" w:hAnsi="Times New Roman"/>
          <w:color w:val="000000"/>
          <w:sz w:val="20"/>
        </w:rPr>
        <w:t xml:space="preserve">, for a summary of the changes in the fair value of the Private Placement Convertible Notes which are Level 3 financial liabilities measured at fair value on a recurring basis, and to </w:t>
      </w:r>
      <w:r>
        <w:rPr>
          <w:rFonts w:ascii="Times New Roman" w:hAnsi="Times New Roman"/>
          <w:i/>
          <w:color w:val="000000"/>
          <w:sz w:val="20"/>
        </w:rPr>
        <w:t>Note 16 - Equity</w:t>
      </w:r>
      <w:r>
        <w:rPr>
          <w:rFonts w:ascii="Times New Roman" w:hAnsi="Times New Roman"/>
          <w:color w:val="000000"/>
          <w:sz w:val="20"/>
        </w:rPr>
        <w:t xml:space="preserve"> for a description of the warrants issued in connection with the Private Placement Offering, respectively.</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Warrant Liability - Private Placement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measurement of fair value of the Private Placement Warrants were determined utilizing a Monte Carlo simulation considering all relevant assumptions current at the date of issuance (i.e., share price, exercise price, term, volatility, risk-free rate, probability of dilutive term of three years, and expected time to conversion). Refer to </w:t>
      </w:r>
      <w:r>
        <w:rPr>
          <w:rFonts w:ascii="Times New Roman" w:hAnsi="Times New Roman"/>
          <w:i/>
          <w:color w:val="000000"/>
          <w:sz w:val="20"/>
        </w:rPr>
        <w:t>Note 14 - Warrant Liabilities</w:t>
      </w:r>
      <w:r>
        <w:rPr>
          <w:rFonts w:ascii="Times New Roman" w:hAnsi="Times New Roman"/>
          <w:color w:val="000000"/>
          <w:sz w:val="20"/>
        </w:rPr>
        <w:t xml:space="preserve"> for further details.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six months ended, June 30, 2025, the Company recognized a loss on issuance of $361,000, presented within loss on private placement issuance in the accompanying condensed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set forth a summary of the inputs to and the changes in the fair value of the Private Placement Warrant liability which are Level 3 financial liabilities that are measured at fair value on a recurring basis:</w:t>
      </w:r>
    </w:p>
    <w:p>
      <w:pPr>
        <w:pStyle w:val="TextBody"/>
        <w:bidi w:val="0"/>
        <w:spacing w:before="200" w:after="283"/>
        <w:jc w:val="both"/>
        <w:rPr/>
      </w:pPr>
      <w:r>
        <w:rPr/>
        <w:t> </w:t>
      </w:r>
    </w:p>
    <w:tbl>
      <w:tblPr>
        <w:tblW w:w="3943" w:type="dxa"/>
        <w:jc w:val="left"/>
        <w:tblInd w:w="0" w:type="dxa"/>
        <w:tblLayout w:type="fixed"/>
        <w:tblCellMar>
          <w:top w:w="28" w:type="dxa"/>
          <w:left w:w="28" w:type="dxa"/>
          <w:bottom w:w="28" w:type="dxa"/>
          <w:right w:w="28" w:type="dxa"/>
        </w:tblCellMar>
      </w:tblPr>
      <w:tblGrid>
        <w:gridCol w:w="2071"/>
        <w:gridCol w:w="146"/>
        <w:gridCol w:w="439"/>
        <w:gridCol w:w="971"/>
        <w:gridCol w:w="3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Key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3.0 - 5.0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3.7 - 3.8%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Volatility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 - 119.0%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3953" w:type="dxa"/>
        <w:jc w:val="left"/>
        <w:tblInd w:w="0" w:type="dxa"/>
        <w:tblLayout w:type="fixed"/>
        <w:tblCellMar>
          <w:top w:w="28" w:type="dxa"/>
          <w:left w:w="28" w:type="dxa"/>
          <w:bottom w:w="28" w:type="dxa"/>
          <w:right w:w="28" w:type="dxa"/>
        </w:tblCellMar>
      </w:tblPr>
      <w:tblGrid>
        <w:gridCol w:w="2596"/>
        <w:gridCol w:w="146"/>
        <w:gridCol w:w="217"/>
        <w:gridCol w:w="803"/>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determined that the Private Placement Convertible Note was eligible for the fair value option election in accordance with ASC 825-10-50-28, and made such election to account for the Private Placement Convertible Note at fair value. The Company estimated the fair value of the Private Placement Convertible Note at issuance using a Monte Carlo simulation, using the following key inputs: principal on the Private Placement Convertible Note of $2,200,000; remaining term of 1.0 years; a market interest rate of 10%; a risk-free rate of 3.88%; equity volatility of 180.0%; and probability of default of 28.7%. Refer to </w:t>
      </w:r>
      <w:r>
        <w:rPr>
          <w:rFonts w:ascii="Times New Roman" w:hAnsi="Times New Roman"/>
          <w:i/>
          <w:color w:val="000000"/>
          <w:sz w:val="20"/>
        </w:rPr>
        <w:t>Note 13 - Debt</w:t>
      </w:r>
      <w:r>
        <w:rPr>
          <w:rFonts w:ascii="Times New Roman" w:hAnsi="Times New Roman"/>
          <w:color w:val="000000"/>
          <w:sz w:val="20"/>
        </w:rPr>
        <w:t xml:space="preserve"> for further details.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Property and Equipment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Property and equipment, net consisted of the following at the dates indicated:</w:t>
      </w:r>
    </w:p>
    <w:p>
      <w:pPr>
        <w:pStyle w:val="TextBody"/>
        <w:bidi w:val="0"/>
        <w:jc w:val="left"/>
        <w:rPr/>
      </w:pPr>
      <w:r>
        <w:rPr/>
        <w:t> </w:t>
      </w:r>
    </w:p>
    <w:tbl>
      <w:tblPr>
        <w:tblW w:w="6355" w:type="dxa"/>
        <w:jc w:val="left"/>
        <w:tblInd w:w="0" w:type="dxa"/>
        <w:tblLayout w:type="fixed"/>
        <w:tblCellMar>
          <w:top w:w="28" w:type="dxa"/>
          <w:left w:w="28" w:type="dxa"/>
          <w:bottom w:w="28" w:type="dxa"/>
          <w:right w:w="28" w:type="dxa"/>
        </w:tblCellMar>
      </w:tblPr>
      <w:tblGrid>
        <w:gridCol w:w="2686"/>
        <w:gridCol w:w="146"/>
        <w:gridCol w:w="284"/>
        <w:gridCol w:w="991"/>
        <w:gridCol w:w="166"/>
        <w:gridCol w:w="146"/>
        <w:gridCol w:w="384"/>
        <w:gridCol w:w="134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 for the six months ended June 30, 2025 and 2024 was $2,210 and $2,825 respectively.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Prepaid Expenses and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consisted of the following at the dates indicated:</w:t>
      </w:r>
    </w:p>
    <w:p>
      <w:pPr>
        <w:pStyle w:val="TextBody"/>
        <w:bidi w:val="0"/>
        <w:jc w:val="both"/>
        <w:rPr/>
      </w:pPr>
      <w:r>
        <w:rPr/>
        <w:t> </w:t>
      </w:r>
    </w:p>
    <w:tbl>
      <w:tblPr>
        <w:tblW w:w="7660" w:type="dxa"/>
        <w:jc w:val="left"/>
        <w:tblInd w:w="0" w:type="dxa"/>
        <w:tblLayout w:type="fixed"/>
        <w:tblCellMar>
          <w:top w:w="28" w:type="dxa"/>
          <w:left w:w="28" w:type="dxa"/>
          <w:bottom w:w="28" w:type="dxa"/>
          <w:right w:w="28" w:type="dxa"/>
        </w:tblCellMar>
      </w:tblPr>
      <w:tblGrid>
        <w:gridCol w:w="3931"/>
        <w:gridCol w:w="146"/>
        <w:gridCol w:w="271"/>
        <w:gridCol w:w="1004"/>
        <w:gridCol w:w="146"/>
        <w:gridCol w:w="146"/>
        <w:gridCol w:w="367"/>
        <w:gridCol w:w="1358"/>
        <w:gridCol w:w="2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insurance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130,345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239,041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consulting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merchant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advertising and marketing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data license and subscription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643,674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Goodwill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is a summary of goodwill by reportable segment as of and for the three and six months ended June 30, 2025:</w:t>
      </w:r>
    </w:p>
    <w:p>
      <w:pPr>
        <w:pStyle w:val="TextBody"/>
        <w:bidi w:val="0"/>
        <w:jc w:val="left"/>
        <w:rPr/>
      </w:pPr>
      <w:r>
        <w:rPr/>
        <w:t> </w:t>
      </w:r>
    </w:p>
    <w:tbl>
      <w:tblPr>
        <w:tblW w:w="8987" w:type="dxa"/>
        <w:jc w:val="left"/>
        <w:tblInd w:w="0" w:type="dxa"/>
        <w:tblLayout w:type="fixed"/>
        <w:tblCellMar>
          <w:top w:w="28" w:type="dxa"/>
          <w:left w:w="28" w:type="dxa"/>
          <w:bottom w:w="28" w:type="dxa"/>
          <w:right w:w="28" w:type="dxa"/>
        </w:tblCellMar>
      </w:tblPr>
      <w:tblGrid>
        <w:gridCol w:w="2626"/>
        <w:gridCol w:w="360"/>
        <w:gridCol w:w="1590"/>
        <w:gridCol w:w="146"/>
        <w:gridCol w:w="211"/>
        <w:gridCol w:w="931"/>
        <w:gridCol w:w="146"/>
        <w:gridCol w:w="211"/>
        <w:gridCol w:w="1036"/>
        <w:gridCol w:w="146"/>
        <w:gridCol w:w="146"/>
        <w:gridCol w:w="211"/>
        <w:gridCol w:w="1036"/>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 Co.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December 31, 2024</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16,800,949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18,972,475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Additions to goodwill (</w:t>
            </w:r>
            <w:r>
              <w:rPr>
                <w:rFonts w:ascii="Times New Roman" w:hAnsi="Times New Roman"/>
                <w:i/>
                <w:color w:val="000000"/>
                <w:sz w:val="20"/>
              </w:rPr>
              <w:t>Note 4</w:t>
            </w:r>
            <w:r>
              <w:rPr>
                <w:rFonts w:ascii="Times New Roman" w:hAnsi="Times New Roman"/>
                <w:color w:val="000000"/>
                <w:sz w:val="2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3,019,246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June 30, 2025</w:t>
            </w:r>
          </w:p>
        </w:tc>
        <w:tc>
          <w:tcPr>
            <w:tcW w:w="3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2,171,526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3,019,246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16,800,949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21,991,721</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We identify our reporting units in accordance with the FASB ASC Subtopic 280 </w:t>
      </w:r>
      <w:r>
        <w:rPr>
          <w:rFonts w:ascii="Times New Roman" w:hAnsi="Times New Roman"/>
          <w:i/>
          <w:color w:val="000000"/>
          <w:sz w:val="20"/>
        </w:rPr>
        <w:t>Segment Reporting</w:t>
      </w:r>
      <w:r>
        <w:rPr>
          <w:rFonts w:ascii="Times New Roman" w:hAnsi="Times New Roman"/>
          <w:color w:val="000000"/>
          <w:sz w:val="20"/>
        </w:rPr>
        <w:t>. The carrying value and fair value for intangible assets and goodwill for a reporting unit are calculated based on key assumptions and valuation methodologies. The discounted cash flow methodology is a widely accepted valuation technique utilized by market participants in the transaction evaluation process and has been applied consistently. We also consider our market capitalization, as compared to the aggregate fair values of our reporting units, to assess the reasonableness of our estimates pursuant to the discounted cash flow methodology. Management further supports its conclusions by assessing a combination of an income valuation methodology, comprising a discounted cash flow analysis and market valuation methodologies, comprising the guideline public company and guideline transaction methods. The estimates and assumptions made in assessing the fair value of our reporting units and the valuation of the underlying assets and liabilities are inherently subject to significant uncertainties related to future sales, gross margins, and advertising and marketing expenses, which can be impacted by increases in competition, changing consumer preferences, technology development expenses, technical advances, and inflation. The discount rate assumption may be influenced by such factors as changes in interest rates and rates of inflation, which can have an impact on the determination of fair value. If these assumptions are adversely affected, we may be required to record additional impairment charges in the future.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2025, as the Company has three operating segments which were deemed to be its reporting units, goodwill is allocated to each reporting unit and the carrying value of each reporting unit is determined based on the present value of the reporting unit's specific discounted cash flows for purposes of evaluating goodwill impairment. As of December 31, 2024, the date of the last goodwill impairment analysis, the Banzai Operating Co. reporting unit had a negative carrying value, and no impairment to goodwill was identified as of December 31, 2024. As of December 31, 2024, the OpenReel reporting unit had a carrying value that exceeded the fair value of the reporting unit. As such an impairment to goodwill $2.7 million was identified as of December 31, 2024.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w:t>
      </w:r>
      <w:r>
        <w:rPr>
          <w:rFonts w:ascii="Times New Roman" w:hAnsi="Times New Roman"/>
          <w:b/>
          <w:color w:val="000000"/>
          <w:sz w:val="20"/>
        </w:rPr>
        <w:t>Accrued Expenses and Other Current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at the dates indicated:</w:t>
      </w:r>
    </w:p>
    <w:p>
      <w:pPr>
        <w:pStyle w:val="TextBody"/>
        <w:bidi w:val="0"/>
        <w:jc w:val="both"/>
        <w:rPr/>
      </w:pPr>
      <w:r>
        <w:rPr/>
        <w:t> </w:t>
      </w:r>
    </w:p>
    <w:tbl>
      <w:tblPr>
        <w:tblW w:w="8105" w:type="dxa"/>
        <w:jc w:val="left"/>
        <w:tblInd w:w="0" w:type="dxa"/>
        <w:tblLayout w:type="fixed"/>
        <w:tblCellMar>
          <w:top w:w="28" w:type="dxa"/>
          <w:left w:w="28" w:type="dxa"/>
          <w:bottom w:w="28" w:type="dxa"/>
          <w:right w:w="28" w:type="dxa"/>
        </w:tblCellMar>
      </w:tblPr>
      <w:tblGrid>
        <w:gridCol w:w="4376"/>
        <w:gridCol w:w="146"/>
        <w:gridCol w:w="235"/>
        <w:gridCol w:w="1040"/>
        <w:gridCol w:w="146"/>
        <w:gridCol w:w="146"/>
        <w:gridCol w:w="318"/>
        <w:gridCol w:w="1407"/>
        <w:gridCol w:w="291"/>
      </w:tblGrid>
      <w:tr>
        <w:trPr/>
        <w:tc>
          <w:tcPr>
            <w:tcW w:w="4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accounting and professional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2,419,829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legal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315,764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Excise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payroll and benefit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207,970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streaming service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subscription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173,163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3,891,018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Deferred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condensed consolidated statement of operations, reflect amounts not recognized through the deferred revenue process, and which have been determined to be insignificant. For the six months ended June 30, 2025 and the year ended December 31, 2024, the Company recognized $2,867,837 and $1,214,096 in revenue that was included in the prior year deferred revenue balance,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change in total deferred revenue was as follows for the periods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43"/>
        <w:gridCol w:w="146"/>
        <w:gridCol w:w="281"/>
        <w:gridCol w:w="1322"/>
        <w:gridCol w:w="166"/>
        <w:gridCol w:w="146"/>
        <w:gridCol w:w="295"/>
        <w:gridCol w:w="1392"/>
        <w:gridCol w:w="314"/>
      </w:tblGrid>
      <w:tr>
        <w:trPr/>
        <w:tc>
          <w:tcPr>
            <w:tcW w:w="6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1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1,214,096</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Billings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4,362,730</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(prior year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(1,214,096</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(current year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(3,091,333</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OpenReel deferred revenue - short-term - previously recognized at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2,663,230</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Vidello deferred revenue -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short-term,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3,934,627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OpenReel deferred revenue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short-term and long-term,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3,934,627</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13. Debt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Promissory Note - GEM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pStyle w:val="TextBody"/>
        <w:bidi w:val="0"/>
        <w:jc w:val="both"/>
        <w:rPr>
          <w:rFonts w:ascii="Times New Roman" w:hAnsi="Times New Roman"/>
          <w:color w:val="000000"/>
          <w:sz w:val="20"/>
        </w:rPr>
      </w:pPr>
      <w:r>
        <w:rPr>
          <w:rFonts w:ascii="Times New Roman" w:hAnsi="Times New Roman"/>
          <w:color w:val="000000"/>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200,000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2025, the Company has issued an aggregate of 19,000 shares of Class A Common Stock to GEM in lieu of monthly payment obligations and during the three and six months ended June 30, 2025, the Company paid an aggregate of $215,057 to satisfy the remaining balance of the GEM Promissory Note.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Convertible Notes (Yorkville)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hAnsi="Times New Roman"/>
          <w:i/>
          <w:color w:val="000000"/>
          <w:sz w:val="20"/>
        </w:rPr>
        <w:t>Note 16 - Equity</w:t>
      </w:r>
      <w:r>
        <w:rPr>
          <w:rFonts w:ascii="Times New Roman" w:hAnsi="Times New Roman"/>
          <w:color w:val="000000"/>
          <w:sz w:val="20"/>
        </w:rPr>
        <w:t xml:space="preserve"> for further details),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an original issue discount of $100,000.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26, 2024, the Company, in exchange for a convertible promissory note with a principal amount of $1,500,000 (the "March Yorkville Promissory Note" and, together with the December Yorkville Convertible Note and February Yorkville Promissory Note the" Yorkville Promissory Notes"), received net proceeds of $1,250,000 after an original issue discount of $250,000 from Yorkville.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Promissory Notes for a period commencing on the date of the closing of the offering and ending on the date that is 90 days thereafter. Under the Original Debt Repayment Agreement, the Company and Yorkville also agreed to extend the maturity date of the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Debt Repayment Agreement was conditioned on the completion of the offering by June 2, 2024.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Promissory Notes after a period of 60 days following the closing of the offering. Under the Amended Debt Repayment Agreement, the Company and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Yorkville also agreed to extend the maturity date of the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terms of the Amended Repayment Agreement, the Company made a cash principal payment of $750,000 on May 31, 2024 (the “Repayment Date”), and issued an Advance Notice for the purchase of 1,200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 recorded at fair value totaling $115,800 on the Repayment Date, and the excess of fair value over the Cash Surplus was recorded to the consolidated statement of operations in line Yorkville prepayment premium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$20.00, and the maturity date for the Outstanding Promissory Notes is extended by 120 days to January 17,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Yorkville Promissory Notes have a maturity date (as modified by the Floor Price Reduction Agreement) of January 17, 2025, and accrue interest at 0% per annum, subject to an increase to 18% per annum upon events of default as defined in the agreement. As of June 30, 2025, no events of default have occurred. </w:t>
      </w:r>
    </w:p>
    <w:p>
      <w:pPr>
        <w:pStyle w:val="TextBody"/>
        <w:bidi w:val="0"/>
        <w:jc w:val="both"/>
        <w:rPr>
          <w:rFonts w:ascii="Times New Roman" w:hAnsi="Times New Roman"/>
          <w:sz w:val="20"/>
        </w:rPr>
      </w:pPr>
      <w:r>
        <w:rPr>
          <w:rFonts w:ascii="Times New Roman" w:hAnsi="Times New Roman"/>
          <w:color w:val="000000"/>
          <w:sz w:val="20"/>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hAnsi="Times New Roman"/>
          <w:i/>
          <w:color w:val="000000"/>
          <w:sz w:val="20"/>
        </w:rPr>
        <w:t>Note 16</w:t>
      </w:r>
      <w:r>
        <w:rPr>
          <w:rFonts w:ascii="Times New Roman" w:hAnsi="Times New Roman"/>
          <w:color w:val="000000"/>
          <w:sz w:val="20"/>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$1,000,000, plus (y) 10% in respect of such amount, and (z) all outstanding accrued and unpaid interest as of each payment date.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During January 2024, the Company’s stock price per share fell below the then in effect Floor Price (as defined in the Standby Equity Purchase Agreement disclosure in </w:t>
      </w:r>
      <w:r>
        <w:rPr>
          <w:rFonts w:ascii="Times New Roman" w:hAnsi="Times New Roman"/>
          <w:i/>
          <w:color w:val="000000"/>
          <w:sz w:val="20"/>
        </w:rPr>
        <w:t>Note 16</w:t>
      </w:r>
      <w:r>
        <w:rPr>
          <w:rFonts w:ascii="Times New Roman" w:hAnsi="Times New Roman"/>
          <w:color w:val="000000"/>
          <w:sz w:val="20"/>
        </w:rPr>
        <w:t>) of $20.00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$2.94 per share of Common Stock, thus curing the Amortization Event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2024, $2,000,000 of the full outstanding principal under the December Yorkville Convertible Note, respectively, was converted into 27,538 shares of Class A Common stock of the Company. During the year ended December 31, 2024, the full principal amount of $1,000,000 under the February Yorkville Promissory Note was converted into 2,891 Class A Common stock of the Company. During the year ended December 31, 2024, the full outstanding principal amount of $750,000 under the March Yorkville Promissory Note was converted into 14,986, Class A Common stock of the Company.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January 30, 2025 (the “Issuance Date”), in connection with and pursuant to the terms of the SEPA (refer to </w:t>
      </w:r>
      <w:r>
        <w:rPr>
          <w:rFonts w:ascii="Times New Roman" w:hAnsi="Times New Roman"/>
          <w:i/>
          <w:color w:val="000000"/>
          <w:sz w:val="20"/>
        </w:rPr>
        <w:t>Note 16 – Equity</w:t>
      </w:r>
      <w:r>
        <w:rPr>
          <w:rFonts w:ascii="Times New Roman" w:hAnsi="Times New Roman"/>
          <w:color w:val="000000"/>
          <w:sz w:val="20"/>
        </w:rPr>
        <w:t xml:space="preserve"> for further details), Yorkville agreed to advance to the Company, in exchange for a Convertible Promissory Note (the “Yorkville Note”), a total principal amount of $3,500,000. The Company received net proceeds of $3,140,000 after a non-cash original issue discount of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$350,000, and $10,00 debt issuance costs paid to Yorkville. </w:t>
      </w:r>
    </w:p>
    <w:p>
      <w:pPr>
        <w:pStyle w:val="TextBody"/>
        <w:bidi w:val="0"/>
        <w:jc w:val="both"/>
        <w:rPr>
          <w:rFonts w:ascii="Times New Roman" w:hAnsi="Times New Roman"/>
          <w:sz w:val="20"/>
        </w:rPr>
      </w:pPr>
      <w:r>
        <w:rPr>
          <w:rFonts w:ascii="Times New Roman" w:hAnsi="Times New Roman"/>
          <w:color w:val="000000"/>
          <w:sz w:val="20"/>
        </w:rPr>
        <w:t>The Yorkville Note has a maturity date of July 31, 2025, but may be extended at the option of the Company. Beginning on the 30</w:t>
      </w:r>
      <w:r>
        <w:rPr>
          <w:rFonts w:ascii="Times New Roman" w:hAnsi="Times New Roman"/>
          <w:color w:val="000000"/>
          <w:sz w:val="11"/>
        </w:rPr>
        <w:t>th</w:t>
      </w:r>
      <w:r>
        <w:rPr>
          <w:rFonts w:ascii="Times New Roman" w:hAnsi="Times New Roman"/>
          <w:color w:val="000000"/>
          <w:sz w:val="20"/>
        </w:rPr>
        <w:t xml:space="preserve"> day from the Issuance Date, and continuing on the same day of each successive calendar month thereafter, (each, an “Installment Date”), the Company shall repay a portion of the outstanding balance of the Yorkville Note in an amount equal to the sum of (i) $1,000,000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Note bears an interest rate of 0% for the first 90 days following the Issuance Date, and 6% thereafter (the “Interest Rate”). The Interest Rate shall increase to an annual rate of 18% upon the occurrence of an Event of Default (as defined by the Yorkville Note). The Yorkville Note is convertible into shares of the Company’s Class A common stock, par value $0.0001 per share (the “Class A Common Stock”), at a conversion price of $20.00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determined that the Yorkville Note was eligible for the fair value option election in accordance with ASC 825-10-50-28, and made such election to account for the Yorkville Note at fair value. The Company estimated the fair value of the Yorkville Note at issuance using a Monte Carlo simulation, using the following key inputs: principal on the Yorkville Note of $3,500,000; remaining term of .50 years; the fair value of the Company’s Class A common stock on the valuation date of $22.40 per share; a market interest rate of 8.7%; a risk-free rate of 4.27%; equity volatility of 224.0%; and the Payment Premium of 4%.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Yorkville Note, the Company made payments totaling approximately $3,640,000, of which approximately $3,500,000 was applied against outstanding principal, and approximately $140,000 was paid to Yorkville as Payment Premiums and expensed as incurred.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and six months ended June 30, 2025, the Company recognized a loss of approximately $78,900 and $238,000, respectively, on the change in fair value of the Yorkville Note. The Company estimated the fair value of the Yorkville Note at March 31, 2025 using a Monte Carlo simulation, using the following key inputs: outstanding principal on the Yorkville Note of approximately $1,695,000; remaining term of .33 years; the fair value of the Company’s Class A common stock on the valuation date of $11.20 per share; a market interest rate of 11.3%; a risk-free rate of 4.29%; equity volatility of 171.0%; and the Payment Premium of 4%. As of June 30, 2025 the note was fully repaid.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June 30, 2024, the Company recorded a loss of $34,000 and $578,000, respectively, related to the change in fair value of the Yorkville Promissory Notes liability, respectively. The Company used Monte Carlo simulation models in order to determine the Yorkville Promissory Note’s fair value at June 30, 2024, with the following inputs: the fair value of the Company's common stock of $0.17 on June 30, 2024, estimated equity volatility of 125%, the time to maturity of 0.24 years, a discounted market interest rate of 20.6%, a risk free rate of 5.48%, and probability of optional redemption 75.0%.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Convertible notes - related party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Term and Convertible Notes - related party (CP BF)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of $1,336.40 per unit. If not sooner converted or prepaid, the Convertible Note principal together with accrued and unpaid interest thereon, unpaid fees and expenses and any other Obligations then due, shall be paid on the Loan Maturity Date.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effective interest rate for the Term Note was 16% for the three and six months ended June 30, 2024. For the three and six months ended June 30, 2024, interest expense on the Term Note totaled $294,613 and $586,940, respectively, comprised of $267,359 and $533,707, respectively, of contractual interest and $27,254 and $53,233, respectively, for the amortization of the discount. The effective interest rate for the CP BF Convertible Note and First Amendment Convertible Note was 16% for the three and six months ended June 30, 2024. For the three and six months ended June 30, 2024, interest expense on the Convertible Notes totaled $121,448 and $237,859, respectively, comprised of $112,908 and $221,504, respectively, of contractual interest and $8,540 and $16,355, respectively, for the amortization of the discount.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utilizes a combination of scenario-based methods and Black-Scholes option pricing models to determine the average share count outstanding at conversion and the simulated price per share for the Company as of the valuation date. Key inputs into these models included the timing and probability of the identified scenarios, and for Black-Scholes option pricing models used for notes that included a valuation cap, equity values, risk-free rate and volatility.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Convertible notes - related party (CP BF restructuring)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ASC 470 Debt,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it was determined CP BF is a related party as they own approximately 16% of the outstanding Class 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conjunction with the side letter, the Company agreed to issue to CP BF, 7,000 shares of the Company's Class A Common Stock. On September 23, 2024 the transaction was finalized and the Company issued the 2024 CP BF Convertible Note with a principal amount of $10,758,775.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$38.90. Upon the occurrence, and during the continuance, of an Event of Default (as defined in the agreement), interest on the 2024 CP BF Convertible Note will bear PIK interest at a per annum rate of 20% (“2024 Default Rate”).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$12,000. Subsequent changes in fair value of the feature will be recognized as a gain or loss in the Consolidated Statement of Operations. The fair value of the bifurcated derivative asset was estimated utilizing the with and without method which uses the probability weighted difference between the scenarios with the derivative and the plain vanilla maturity scenario without a derivative (See </w:t>
      </w:r>
      <w:r>
        <w:rPr>
          <w:rFonts w:ascii="Times New Roman" w:hAnsi="Times New Roman"/>
          <w:i/>
          <w:color w:val="000000"/>
          <w:sz w:val="20"/>
        </w:rPr>
        <w:t>Note 7</w:t>
      </w:r>
      <w:r>
        <w:rPr>
          <w:rFonts w:ascii="Times New Roman" w:hAnsi="Times New Roman"/>
          <w:color w:val="000000"/>
          <w:sz w:val="20"/>
        </w:rPr>
        <w:t xml:space="preserve"> - </w:t>
      </w:r>
      <w:r>
        <w:rPr>
          <w:rFonts w:ascii="Times New Roman" w:hAnsi="Times New Roman"/>
          <w:i/>
          <w:color w:val="000000"/>
          <w:sz w:val="20"/>
        </w:rPr>
        <w:t>Fair Value Measurements</w:t>
      </w:r>
      <w:r>
        <w:rPr>
          <w:rFonts w:ascii="Times New Roman" w:hAnsi="Times New Roman"/>
          <w:color w:val="000000"/>
          <w:sz w:val="20"/>
        </w:rPr>
        <w:t>). As of June 30, 2025, the fair value of the bifurcated derivatives was $1,000. The Company recorded a loss related to the change in fair value of the bifurcated derivatives of $62,000 for the six months ended June 30, 2025.</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October 2024, CP BF exercised its optional conversion option in which it received 5,560 Class A Common Stock at the fixed conversion price per share of $38.90 in satisfaction of $216,284 of the Company's obligations under the 2024 CP BF Convertible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$2,000,000 in debt into 26,085 shares of Class A Common Stock, CP BF Warrants to purchase up to 56,555 shares of Class A Common Stock and CP BF Pre-Funded Warrants to purchase up to 30,470 shares of Class A Common Stock (all such securities and shares collectively referred to as the “CP BF Registrable Securities”). The CP BF Warrant can be exercised at an initial exercise price of $38.90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Joe Davy, agreed not to sell an aggregate of 231,114 shares of Class B Common Stock that he owns until such time as CP BF no longer owns any of the CP BF Registrable Securities.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in an aggregate amount upon the sale of the Company's capital stock equal to 20% of the cash proceeds in excess of $3,000,000. For the six months ended June 30, 2025, the Company paid a total of $870,190 of which satisfied outstanding principal under the 2024 CP BF Convertible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effective interest rate for the 2024 CP BF Convertible Note was approximately 15.4% for the three and six months ended June 30, 2025. For the three and six months ended June 30, 2025, interest expense on the 2024 CP BF Convertible Note totaled $318,718 and $654,108, respectively, consisting of $319,574 and $655,849, respectively, of contractual interest offset by $855 and $1,740, respectively, of amortization of the debt premium.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2024 CP BF Convertible Note as of June 30, 2025:</w:t>
      </w:r>
    </w:p>
    <w:p>
      <w:pPr>
        <w:pStyle w:val="TextBody"/>
        <w:bidi w:val="0"/>
        <w:jc w:val="both"/>
        <w:rPr/>
      </w:pPr>
      <w:r>
        <w:rPr/>
        <w:t> </w:t>
      </w:r>
    </w:p>
    <w:tbl>
      <w:tblPr>
        <w:tblW w:w="5805" w:type="dxa"/>
        <w:jc w:val="left"/>
        <w:tblInd w:w="0" w:type="dxa"/>
        <w:tblLayout w:type="fixed"/>
        <w:tblCellMar>
          <w:top w:w="28" w:type="dxa"/>
          <w:left w:w="28" w:type="dxa"/>
          <w:bottom w:w="28" w:type="dxa"/>
          <w:right w:w="28" w:type="dxa"/>
        </w:tblCellMar>
      </w:tblPr>
      <w:tblGrid>
        <w:gridCol w:w="4246"/>
        <w:gridCol w:w="146"/>
        <w:gridCol w:w="211"/>
        <w:gridCol w:w="991"/>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Face value of the CP BF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8,758,775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premium,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the CP BF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8,768,100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1,027,631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 made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CP BF convertible notes and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8,425,943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2024 CP BF Convertible Note as of December 31, 2024:</w:t>
      </w:r>
    </w:p>
    <w:p>
      <w:pPr>
        <w:pStyle w:val="TextBody"/>
        <w:bidi w:val="0"/>
        <w:jc w:val="both"/>
        <w:rPr/>
      </w:pPr>
      <w:r>
        <w:rPr/>
        <w:t> </w:t>
      </w:r>
    </w:p>
    <w:tbl>
      <w:tblPr>
        <w:tblW w:w="5745" w:type="dxa"/>
        <w:jc w:val="left"/>
        <w:tblInd w:w="0" w:type="dxa"/>
        <w:tblLayout w:type="fixed"/>
        <w:tblCellMar>
          <w:top w:w="28" w:type="dxa"/>
          <w:left w:w="28" w:type="dxa"/>
          <w:bottom w:w="28" w:type="dxa"/>
          <w:right w:w="28" w:type="dxa"/>
        </w:tblCellMar>
      </w:tblPr>
      <w:tblGrid>
        <w:gridCol w:w="4246"/>
        <w:gridCol w:w="146"/>
        <w:gridCol w:w="211"/>
        <w:gridCol w:w="931"/>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Face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8,758,775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premium,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8,769,841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 made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CP BF convertible notes and 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8,639,701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Notes payable, carried at fair value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Term Notes (Agile)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22, 2024, the Company entered into a subordinated business loan and security agreement (the "July Subordinated Business Loan and Security Agreement") with Agile Lending, LLC and Agile Capital Funding, LLC as the collateral agent. On July 22, 2024, the Company issued a subordinated secured promissory note (the “July Agile Note”) for an aggregate principal amount of $787,500 and received $750,000 of proceeds, net of administrative agent fees $37,500 to the collateral agent, with a maturity date of February 5, 2025</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subordinated business loan and security agreement. The loan under the agreement bears interest at a rate of 42% and will be calculated on a three hundred and sixty (360) day year based on the actual number of days lapsed, and interest shall accrue on the loan commencing on and including the effective date pursuant to the Agreement's weekly repayment and amortization schedule.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13, 2024, the Company entered into a subordinated business loan and security agreement (the "September Subordinated Business Loan and Security Agreement") with Agile Lending, LLC and Agile Capital Funding, LLC as the collateral agent. On September 13, 2024, the Company issued a subordinated secured promissory note (the “September Agile Note”) for an aggregate principal amount of $262,500 and received $250,000 of proceeds, net of administrative agent fees $12,500 to the collateral agent, with a maturity date of March 3, 2025 under the September Note. The September Note bears interest at a rate of 48%, and interest will be calculated on a three hundred and sixty (360) day year based on the actual number of days lapsed, and interest shall accrue on the September Note commencing on and including the effective date pursuant to the September Note Agreement's weekly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12, 2024, the Company issued a subordinated secured promissory note (the “December Agile Note”) for an aggregate principal amount of $2,400,000 and received $1,782,438 of proceeds, net of administrative agent fees of $120,000 paid to the collateral agent, and net of payments to Agile Lending, LLC of $319,500 and $178,063 in respect to early prepayment of the remaining outstanding balances of the July Agile Note and September Agile Note, with a maturity date on the December Agile Note of July 10, 2025. The December Agile Note bears interest at a rate of 44%, and interest will be calculated on a three hundred and sixty (360) day year based on the actual number of days lapsed, and interest shall accrue on the December Agile Note commencing on and including the effective date pursuant to the December Agile Note Agreement’s weekly repayment and amortization schedule.</w:t>
      </w:r>
    </w:p>
    <w:p>
      <w:pPr>
        <w:pStyle w:val="TextBody"/>
        <w:bidi w:val="0"/>
        <w:jc w:val="both"/>
        <w:rPr>
          <w:rFonts w:ascii="Times New Roman" w:hAnsi="Times New Roman"/>
          <w:color w:val="000000"/>
          <w:sz w:val="20"/>
        </w:rPr>
      </w:pPr>
      <w:r>
        <w:rPr>
          <w:rFonts w:ascii="Times New Roman" w:hAnsi="Times New Roman"/>
          <w:color w:val="000000"/>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March 31, 2025, the Company issued a subordinated secured promissory note (the “March Agile Note”) for an aggregate principal amount of $4,000,000 and received $2,044,105 of proceeds, net of administrative agent fees of $200,000 paid to the collateral agent, and net of payments to Agile Lending, LLC of $1,755,895 in respect to early prepayment of the remaining outstanding balances of the December Agile Note, with a maturity date on the March Agile Note of November 12, 2025. The March Agile Note bears interest at a rate of 44%, and interest will be calculated on a three hundred and sixty (360) day year based on the actual number of days lapsed, and interest shall accrue on the March Agile Note commencing on and including the effective date pursuant to the March Agile Note Agreement’s weekly repayment and amortization schedule.</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$1,769,895.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12, 2025, the Company issued a subordinated secured promissory note (the “June Agile Note”) for an aggregate principal amount of $262,500 and received $250,000 of proceeds, net of administrative agent fees $12,500 to the collateral agent, with a maturity date of December 15, 2025 under the June Note. The June Note bears interest at a rate of 48%, and interest will be calculated on a three hundred and sixty (360) day year based on the actual number of days lapsed, and interest shall accrue on the June Note commencing on and including the effective date pursuant to the June Note Agreement's weekly repayment and amortization schedule.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July Agile Note, the September Agile Note, the December Agile Note, the March Agile Note, and the June Agile Note are together referred to as the “Agile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collateral under the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Agile Notes include contingent redemption (put) rights which trigger mandatory prepayment and a make-whole premium upon certain events including an event of default, and defaulted contingent interest upon an event of default.</w:t>
      </w:r>
    </w:p>
    <w:p>
      <w:pPr>
        <w:pStyle w:val="TextBody"/>
        <w:bidi w:val="0"/>
        <w:jc w:val="both"/>
        <w:rPr>
          <w:rFonts w:ascii="Times New Roman" w:hAnsi="Times New Roman"/>
          <w:sz w:val="20"/>
        </w:rPr>
      </w:pPr>
      <w:r>
        <w:rPr>
          <w:rFonts w:ascii="Times New Roman" w:hAnsi="Times New Roman"/>
          <w:color w:val="000000"/>
          <w:sz w:val="20"/>
        </w:rPr>
        <w:t xml:space="preserve">Due to the contingent redemption put feature and default interest embedded feature within the Agile Notes, the Company elected to account for the Agile Notes at fair value at their respective dates of issuance and in subsequent reporting periods, pursuant to ASC 825 </w:t>
      </w:r>
      <w:r>
        <w:rPr>
          <w:rFonts w:ascii="Times New Roman" w:hAnsi="Times New Roman"/>
          <w:i/>
          <w:color w:val="000000"/>
          <w:sz w:val="20"/>
        </w:rPr>
        <w:t>Financial Instruments</w:t>
      </w:r>
      <w:r>
        <w:rPr>
          <w:rFonts w:ascii="Times New Roman" w:hAnsi="Times New Roman"/>
          <w:color w:val="000000"/>
          <w:sz w:val="20"/>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 </w:t>
      </w:r>
    </w:p>
    <w:p>
      <w:pPr>
        <w:pStyle w:val="TextBody"/>
        <w:bidi w:val="0"/>
        <w:jc w:val="both"/>
        <w:rPr>
          <w:rFonts w:ascii="Times New Roman" w:hAnsi="Times New Roman"/>
          <w:color w:val="000000"/>
          <w:sz w:val="20"/>
        </w:rPr>
      </w:pPr>
      <w:r>
        <w:rPr>
          <w:rFonts w:ascii="Times New Roman" w:hAnsi="Times New Roman"/>
          <w:color w:val="000000"/>
          <w:sz w:val="20"/>
        </w:rPr>
        <w:t>Interest expense on the Agile Notes totaled $681,928 for the three and six months ending June 30, 2025 and is included in the fair value of the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presents the Agile Notes as of June 30, 2025:</w:t>
      </w:r>
    </w:p>
    <w:p>
      <w:pPr>
        <w:pStyle w:val="TextBody"/>
        <w:bidi w:val="0"/>
        <w:jc w:val="left"/>
        <w:rPr/>
      </w:pPr>
      <w:r>
        <w:rPr/>
        <w:t> </w:t>
      </w:r>
    </w:p>
    <w:tbl>
      <w:tblPr>
        <w:tblW w:w="5745" w:type="dxa"/>
        <w:jc w:val="left"/>
        <w:tblInd w:w="0" w:type="dxa"/>
        <w:tblLayout w:type="fixed"/>
        <w:tblCellMar>
          <w:top w:w="28" w:type="dxa"/>
          <w:left w:w="28" w:type="dxa"/>
          <w:bottom w:w="28" w:type="dxa"/>
          <w:right w:w="28" w:type="dxa"/>
        </w:tblCellMar>
      </w:tblPr>
      <w:tblGrid>
        <w:gridCol w:w="4186"/>
        <w:gridCol w:w="146"/>
        <w:gridCol w:w="211"/>
        <w:gridCol w:w="991"/>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Agile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(1,929,885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4,131,000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2,754,543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Convertible Notes (1800 Diagonal)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16, 2024, the Company entered into a securities purchase agreement and promissory note agreement (the "August Securities Purchase Agreement") with 1800 Diagonal Lending LLC (“Lender”). On August 16, 2024 the Company issued a promissory note (the “August 1800 Diagonal Note”) for an aggregate principal amount of $184,000 and received $152,000 of proceeds, net of an original issue discount of $24,000 and issuance costs of $8,000 for due diligence and legal fees, with a maturity date of June 15, 2025. The August Securities Purchase Agreement stipulates that the Company and Lender may mutually agree to enter into additional tranches of promissory notes over the 12 month period commencing on August 16, 2024, up to an aggregate total of $750,000. The stated interest rate on the August Note is 12% per annum, and interest shall accrue on the August Note commencing on and including the issuance date pursuant to the August Agreement's monthly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24, 2024, the Company issued a second promissory note (the “September 1800 Diagonal Note”) for an aggregate principal amount of $124,200 and received $100,000 of proceeds, net of an original discount of $16,200 and issuance costs of $8,000 for due diligence and legal fees, with a maturity date of July 30, 2025. The stated interest rate on the September Note is 12% per annum, and interest shall accrue on the September Note commencing on and including the issuance date pursuant to the September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10, 2024, the Company issued a third promissory note (the “December 1800 Diagonal Note”) for an aggregate principal amount of $124,200 and received $100,000 of proceeds, net of an original discount of $16,200 and issuance costs of $8,000 for due diligence and legal fees, with a maturity date of October 15, 2025. The stated interest rate on the December Note is 12% per annum, and interest shall accrue on the December Note commencing on and including the issuance date pursuant to the December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February 7, 2025, the Company issued a fourth promissory note (the “February 1800 Diagonal Note”) for an aggregate principal amount of $124,200 and received $100,000 of proceeds, net of an original discount of $16,200 and issuance costs of $8,000 for due diligence and legal fees, with a maturity date of December 15, 2025. The stated interest rate on the February Note is 12% per annum,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and interest shall accrue on the February Note commencing on and including the issuance date pursuant to the February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17, 2025, the Company issued a fifth promissory note (the “April 1800 Diagonal Note”) for an aggregate principal amount of $230,000 and received $192,000 of proceeds, net of an original discount of $30,000 and issuance costs of $8,000 for due diligence and legal fees, with a maturity date of February 15, 2026. The stated interest rate on the April Note is 12% per annum, and interest shall accrue on the April Note commencing on and including the issuance date pursuant to the April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9, 2025, the Company issued a sixth promissory note (the “May 1800 Diagonal Note”) for an aggregate principal amount of $163,300 and received $135,000 of proceeds, net of an original discount of $21,300 and issuance costs of $7,000 for due diligence and legal fees, with a maturity date of February 15, 2026. The stated interest rate on the May Note is 12% per annum, and interest shall accrue on the May Note commencing on and including the issuance date pursuant to the May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August 1800 Diagonal Note, the September 1800 Diagonal Note, the December 1800 Diagonal Note, the February 1800 Diagonal Note, the April 1800 Diagonal Note, and the May 1800 Diagonal Note are together referred to as the “1800 Diagonal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agreements, all or any portion of the 1800 Diagonal Notes that are then-outstanding,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1800 Diagonal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Due to these embedded features within the 1800 Diagonal Notes, the Company elected to account for the 1800 Diagonal Notes at fair value at their respective dates of issuance and in subsequent reporting periods, pursuant to ASC 825 </w:t>
      </w:r>
      <w:r>
        <w:rPr>
          <w:rFonts w:ascii="Times New Roman" w:hAnsi="Times New Roman"/>
          <w:i/>
          <w:color w:val="000000"/>
          <w:sz w:val="20"/>
        </w:rPr>
        <w:t>Financial Instruments</w:t>
      </w:r>
      <w:r>
        <w:rPr>
          <w:rFonts w:ascii="Times New Roman" w:hAnsi="Times New Roman"/>
          <w:color w:val="000000"/>
          <w:sz w:val="20"/>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1800 Diagonal Notes totaled approximately $60,241 and $97,176 for the three and six months ending June 30, 2025 and is included in the fair value of the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1800 Diagonal Notes as of June 30, 2025:</w:t>
      </w:r>
    </w:p>
    <w:p>
      <w:pPr>
        <w:pStyle w:val="TextBody"/>
        <w:bidi w:val="0"/>
        <w:jc w:val="left"/>
        <w:rPr/>
      </w:pPr>
      <w:r>
        <w:rPr/>
        <w:t> </w:t>
      </w:r>
    </w:p>
    <w:tbl>
      <w:tblPr>
        <w:tblW w:w="5595" w:type="dxa"/>
        <w:jc w:val="left"/>
        <w:tblInd w:w="0" w:type="dxa"/>
        <w:tblLayout w:type="fixed"/>
        <w:tblCellMar>
          <w:top w:w="28" w:type="dxa"/>
          <w:left w:w="28" w:type="dxa"/>
          <w:bottom w:w="28" w:type="dxa"/>
          <w:right w:w="28" w:type="dxa"/>
        </w:tblCellMar>
      </w:tblPr>
      <w:tblGrid>
        <w:gridCol w:w="4186"/>
        <w:gridCol w:w="146"/>
        <w:gridCol w:w="211"/>
        <w:gridCol w:w="841"/>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1800 Diagonal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1800 Diagonal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461,454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Private Placement Offering (3i, LP)</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Notes shall be convertible into shares of the Company's Class A Common Stock, par value $0.0001 (the shares of Common Stock issuable pursuant to the terms of the Notes, including, without limitation, upon conversion or otherwise, collectively, the “Conversion Shares”), in accordance with the terms of the Notes. The Buyer purchased (i) a Note in the aggregate original principal amount of $11,000,000 and (ii) a warrant to initially acquire up to 67,124 shares of Common Stock (the “Buyer Warrants”) (as exercised, collectively, the “Warrant Shares”). 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The Private Placement Offering closed on June 30, 2025 (the “Closing Date”). Refer to </w:t>
      </w:r>
      <w:r>
        <w:rPr>
          <w:rFonts w:ascii="Times New Roman" w:hAnsi="Times New Roman"/>
          <w:i/>
          <w:color w:val="212529"/>
          <w:sz w:val="20"/>
        </w:rPr>
        <w:t>Note 16 - Equity</w:t>
      </w:r>
      <w:r>
        <w:rPr>
          <w:rFonts w:ascii="Times New Roman" w:hAnsi="Times New Roman"/>
          <w:color w:val="212529"/>
          <w:sz w:val="20"/>
        </w:rPr>
        <w:t>, for further description of the Warrants issued in the Private Placement Offering.</w:t>
      </w:r>
    </w:p>
    <w:p>
      <w:pPr>
        <w:pStyle w:val="TextBody"/>
        <w:bidi w:val="0"/>
        <w:jc w:val="both"/>
        <w:rPr>
          <w:rFonts w:ascii="Times New Roman" w:hAnsi="Times New Roman"/>
          <w:color w:val="212529"/>
          <w:sz w:val="20"/>
        </w:rPr>
      </w:pPr>
      <w:r>
        <w:rPr>
          <w:rFonts w:ascii="Times New Roman" w:hAnsi="Times New Roman"/>
          <w:color w:val="212529"/>
          <w:sz w:val="20"/>
        </w:rPr>
        <w:t>The Notes were issued with an original issue discount of 10.0% and accrue interest at a rate of 10.0% per annum. The Notes mature twelve (12) months from the date of issuance, June 30, 2026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Note is subject to a floor price of $0.11.</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On June 30, 2025, the Company drew $2,200,000 of principal under the allowable aggregate of $11,000,000 pursuant to the Purchase Agreement and received proceeds of $1,725,000, net of original issue discount and issuance fees and costs. </w:t>
      </w:r>
    </w:p>
    <w:p>
      <w:pPr>
        <w:pStyle w:val="TextBody"/>
        <w:bidi w:val="0"/>
        <w:jc w:val="both"/>
        <w:rPr>
          <w:rFonts w:ascii="Times New Roman" w:hAnsi="Times New Roman"/>
          <w:color w:val="212529"/>
          <w:sz w:val="20"/>
        </w:rPr>
      </w:pPr>
      <w:r>
        <w:rPr>
          <w:rFonts w:ascii="Times New Roman" w:hAnsi="Times New Roman"/>
          <w:color w:val="212529"/>
          <w:sz w:val="20"/>
        </w:rPr>
        <w:t>In addition, if an Event of Default (as defined in the Notes) has occurred under the Notes,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jc w:val="both"/>
        <w:rPr>
          <w:rFonts w:ascii="Times New Roman" w:hAnsi="Times New Roman"/>
          <w:color w:val="212529"/>
          <w:sz w:val="20"/>
        </w:rPr>
      </w:pPr>
      <w:r>
        <w:rPr>
          <w:rFonts w:ascii="Times New Roman" w:hAnsi="Times New Roman"/>
          <w:color w:val="212529"/>
          <w:sz w:val="20"/>
        </w:rPr>
        <w:t>The initial net proceeds to the Company from the Offering were approximately $1.725 million, after the original issuance discount and deducting financial advisory fees and estimated offering expenses payable by the Company. The Company intends to use the net proceeds received from the Offering for general corporate purposes and working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Due to these embedded features within the Private Placement Convertible Notes, the Company elected to account for the Private Placement Convertible Notes at fair value at their respective dates of issuance and in subsequent reporting periods, pursuant to ASC 825 </w:t>
      </w:r>
      <w:r>
        <w:rPr>
          <w:rFonts w:ascii="Times New Roman" w:hAnsi="Times New Roman"/>
          <w:i/>
          <w:color w:val="000000"/>
          <w:sz w:val="20"/>
        </w:rPr>
        <w:t>Financial Instruments</w:t>
      </w:r>
      <w:r>
        <w:rPr>
          <w:rFonts w:ascii="Times New Roman" w:hAnsi="Times New Roman"/>
          <w:color w:val="000000"/>
          <w:sz w:val="20"/>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Private Placement Convertible Notes totaled approximately $0 for the three and six months ending June 30, 2025 and is included in the fair value of the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Private Placement Convertible Notes as of June 30, 2025:</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665" w:type="dxa"/>
        <w:jc w:val="left"/>
        <w:tblInd w:w="0" w:type="dxa"/>
        <w:tblLayout w:type="fixed"/>
        <w:tblCellMar>
          <w:top w:w="28" w:type="dxa"/>
          <w:left w:w="28" w:type="dxa"/>
          <w:bottom w:w="28" w:type="dxa"/>
          <w:right w:w="28" w:type="dxa"/>
        </w:tblCellMar>
      </w:tblPr>
      <w:tblGrid>
        <w:gridCol w:w="4186"/>
        <w:gridCol w:w="146"/>
        <w:gridCol w:w="211"/>
        <w:gridCol w:w="93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Private Placement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2,676,000</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14. Warrant Liabilities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Public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assumed Public Warrants in the Merger, exercisable into 23,000 shares of Common Stock of the Company, and which remained outstanding as of June 30, 2025. The Public Warrants have an exercise price of $5,750 per share, subject to adjustments, and will expire five years from the Merger Closing Date. The exercise price and number of shares of Class A Common Stock issuable upon exercise of the warrants may be adjusted in certain circumstances including in the event of a share dividend, or recapitalization, reorganization, merger or consolidation.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As the Resale Registration Statement was declared effective within the contractual 60-day term upon closing of the Merger, no "cashless basis" exercises were triggered during the period ended June 30,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Redemption of Public Warrants When the price per Share of Class A Common Stock Equals or Exceeds $9,000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a price of $5.00 per Warrant;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a minimum of 30 days' prior written notice of redemption (the "30-day redemption period");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and only if, the closing price per share of Class A Common Stock equals or exceeds $9,000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$9,000 redemption trigger price (as adjusted for adjustments to the number of shares issuable upon exercise or the exercise price of a Public Warrant as described under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heading “-Warrants—Public Stockholder Warrants—Anti-dilution Adjustments”) as well as the $5,750 (for whole shares) Public Warrant exercise price after the redemption notice is issued.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GEM Financing Arrangement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GEM Letter, see </w:t>
      </w:r>
      <w:r>
        <w:rPr>
          <w:rFonts w:ascii="Times New Roman" w:hAnsi="Times New Roman"/>
          <w:i/>
          <w:color w:val="000000"/>
          <w:sz w:val="20"/>
        </w:rPr>
        <w:t>Note 13 - Debt</w:t>
      </w:r>
      <w:r>
        <w:rPr>
          <w:rFonts w:ascii="Times New Roman" w:hAnsi="Times New Roman"/>
          <w:color w:val="000000"/>
          <w:sz w:val="20"/>
        </w:rPr>
        <w:t xml:space="preserve"> for further details, at Closing, the GEM Warrant automatically became an obligation of the Company, and on December 15, 2023, the Company issued the GEM Warrant granting GEM the right to purchase 1,657 shares at an exercise price of $3,245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$18.30. The effect of the change in strike price feature being triggered resulted in a change of value of approximately $15,000 which is recorded in the statement of operations line change in fair value of warrant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 As of June 30, 2025 and December 31, 2024, the fair value of the Warrants, as determined by the Monte Carlo simulation option pricing model, were $3,000 and $15,000,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GEM Warrant may not be exercised if such exercise would result in the beneficial ownership of the holder and its affiliates in excess of 9.99% of the then-issued and outstanding shares of Common Stock.</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Private Placement Offering Warrants</w:t>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Notes shall be convertible into shares of the Company's Class A Common Stock, par value $0.0001 (the shares of Common Stock issuable pursuant to the terms of the Notes, including, without limitation, upon conversion or otherwise, collectively, the “Conversion Shares”), in accordance with the terms of the Notes. The Buyer purchased (i) a Note in the aggregate original principal amount of $11,000,000 and (ii) a warrant to initially acquire up to 67,124 shares of Common Stock (the “Buyer Warrants”) (as exercised, collectively, the “Warrant Shares”). 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“Financial Advisor Warrants”, together with the Buyer Warrants, the “Private Placement Warrants”). The Private Placement Offering closed on June 30, 2025.</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Buyer Warrants are to purchase up to 67,124 shares of Common Stock, at an exercise price of $6.60 per share. The Buyer Warrants are exercisable immediately upon issuance and have a term of exercise equal to three (3) years from the date of issuance.</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Rodman &amp; Renshaw LLC (“Rodman”) acted as the Company’s exclusive financial advisor in connection with the Offering, pursuant to that certain Letter Agreement, dated as of April 30, 2025, as amended, between the Company and Rodman. Pursuant to the Letter Agreement, the Company paid Rodman (i) a total cash fee equal to 7% of the aggregate gross proceeds of the Offering (inclusive of the gross proceeds to be received from the exercise of any Buyer Warrants), (ii) a management fee of 1.0% of the aggregate gross proceeds of the Offering (inclusive of the gross proceeds to be received from the exercise of any Buyer Warrants), and (iii) a non-accountable expense allowance of $75,000. In addition, the Company issued to Rodman or its designees the Financial Advisor Warrants to purchase up to an aggregate of 21,212 shares of Common Stock at an exercise price equal to $8.25 per share, which represents 125% of the Offering price. The Financial Advisor Warrants have substantially the same terms as the Buyer Warrants, are exercisable immediately upon issuance and have a term of exercise equal to five (5) years from the date of issuance.</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A holder of the Warrants may not exercise any portion of such holder’s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a Change of Control, holders of the Warrants will have the right to receive the Black Scholes Value of their Warrants calculated pursuant to a formula set forth in the Warrants, payable in cash.</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Private Placement Convertible Notes, see </w:t>
      </w:r>
      <w:r>
        <w:rPr>
          <w:rFonts w:ascii="Times New Roman" w:hAnsi="Times New Roman"/>
          <w:i/>
          <w:color w:val="000000"/>
          <w:sz w:val="20"/>
        </w:rPr>
        <w:t>Note 13 - Debt</w:t>
      </w:r>
      <w:r>
        <w:rPr>
          <w:rFonts w:ascii="Times New Roman" w:hAnsi="Times New Roman"/>
          <w:color w:val="000000"/>
          <w:sz w:val="20"/>
        </w:rPr>
        <w:t xml:space="preserve"> for further details, at Closing, the Private Placement Warrants automatically became an obligation of the Company. Holders of the Private Placement Warrants may exercise the Private Placement Warrants at any time and from time to time until June 30, 2028 and June 30, 2030, respectively.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fair value at issuance on June 30, 2025 was determined utilizing a Monte Carlo simulation considering all relevant assumptions current at the date of issuance (i.e., share price, exercise price, term, volatility, risk-free rate, and term of three to five years). As of June 30, 2025 and December 31, 2024, the fair value of the Private Placement Warrants, as determined by the Monte Carlo simulation option pricing model, were $361,000 and $0,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 summary of the inputs to the Monte Carlo Simulation for the Private Placement Warrant liability which are Level 3 financial liabilities that are measured at fair value on a recurring basis:</w:t>
      </w:r>
    </w:p>
    <w:p>
      <w:pPr>
        <w:pStyle w:val="TextBody"/>
        <w:bidi w:val="0"/>
        <w:jc w:val="left"/>
        <w:rPr/>
      </w:pPr>
      <w:r>
        <w:rPr/>
        <w:t> </w:t>
      </w:r>
    </w:p>
    <w:tbl>
      <w:tblPr>
        <w:tblW w:w="3943" w:type="dxa"/>
        <w:jc w:val="left"/>
        <w:tblInd w:w="0" w:type="dxa"/>
        <w:tblLayout w:type="fixed"/>
        <w:tblCellMar>
          <w:top w:w="28" w:type="dxa"/>
          <w:left w:w="28" w:type="dxa"/>
          <w:bottom w:w="28" w:type="dxa"/>
          <w:right w:w="28" w:type="dxa"/>
        </w:tblCellMar>
      </w:tblPr>
      <w:tblGrid>
        <w:gridCol w:w="2071"/>
        <w:gridCol w:w="146"/>
        <w:gridCol w:w="439"/>
        <w:gridCol w:w="971"/>
        <w:gridCol w:w="3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Key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3.0 - 5.0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3.7 - 3.8%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Volatility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 - 119.0%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operating leases for its real estate across multiple states. The operating leases have remaining lease terms of approximately 2.33 years as of June 30, 2025 and consist primarily of office space.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lease agreements generally do not provide an implicit borrowing rate. Therefore, the Company used a benchmark approach to derive an appropriate incremental borrowing rate to discount remaining lease payments.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Leases with an initial term of twelve months or less are not recorded on the balance sheet. There are no material residual guarantees associated with any of the Company’s leases, and there are no significant restrictions or covenants included in the Company’s lease agreements. Certain leases include variable payments related to common area maintenance and property taxes, which are billed by the landlord, as is customary with these types of charges for office space. The Company has not entered into any lease arrangements with related parties.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existing leases contain escalation clauses and renewal options. The Company is not reasonably certain that renewal options will be exercised upon expiration of the initial terms of its existing leases.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entered into a sublease which it has identified as an operating lease prior to the adoption of ASC 842 </w:t>
      </w:r>
      <w:r>
        <w:rPr>
          <w:rFonts w:ascii="Times New Roman" w:hAnsi="Times New Roman"/>
          <w:i/>
          <w:color w:val="000000"/>
          <w:sz w:val="20"/>
        </w:rPr>
        <w:t>Leases</w:t>
      </w:r>
      <w:r>
        <w:rPr>
          <w:rFonts w:ascii="Times New Roman" w:hAnsi="Times New Roman"/>
          <w:color w:val="000000"/>
          <w:sz w:val="20"/>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components of lease expense for the three months ended June 30, 2025 and 2024 , are as follows:</w:t>
      </w:r>
    </w:p>
    <w:p>
      <w:pPr>
        <w:pStyle w:val="TextBody"/>
        <w:bidi w:val="0"/>
        <w:spacing w:before="200" w:after="283"/>
        <w:jc w:val="both"/>
        <w:rPr/>
      </w:pPr>
      <w:r>
        <w:rPr/>
        <w:t> </w:t>
      </w:r>
    </w:p>
    <w:tbl>
      <w:tblPr>
        <w:tblW w:w="6252" w:type="dxa"/>
        <w:jc w:val="left"/>
        <w:tblInd w:w="0" w:type="dxa"/>
        <w:tblLayout w:type="fixed"/>
        <w:tblCellMar>
          <w:top w:w="28" w:type="dxa"/>
          <w:left w:w="28" w:type="dxa"/>
          <w:bottom w:w="28" w:type="dxa"/>
          <w:right w:w="28" w:type="dxa"/>
        </w:tblCellMar>
      </w:tblPr>
      <w:tblGrid>
        <w:gridCol w:w="2611"/>
        <w:gridCol w:w="146"/>
        <w:gridCol w:w="343"/>
        <w:gridCol w:w="928"/>
        <w:gridCol w:w="237"/>
        <w:gridCol w:w="237"/>
        <w:gridCol w:w="343"/>
        <w:gridCol w:w="1196"/>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(income)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components of lease expense for the six months ended June 30, 2025 and 2024, are as follows: </w:t>
      </w:r>
    </w:p>
    <w:p>
      <w:pPr>
        <w:pStyle w:val="TextBody"/>
        <w:bidi w:val="0"/>
        <w:jc w:val="both"/>
        <w:rPr/>
      </w:pPr>
      <w:r>
        <w:rPr/>
        <w:t> </w:t>
      </w:r>
    </w:p>
    <w:tbl>
      <w:tblPr>
        <w:tblW w:w="6012" w:type="dxa"/>
        <w:jc w:val="left"/>
        <w:tblInd w:w="0" w:type="dxa"/>
        <w:tblLayout w:type="fixed"/>
        <w:tblCellMar>
          <w:top w:w="28" w:type="dxa"/>
          <w:left w:w="28" w:type="dxa"/>
          <w:bottom w:w="28" w:type="dxa"/>
          <w:right w:w="28" w:type="dxa"/>
        </w:tblCellMar>
      </w:tblPr>
      <w:tblGrid>
        <w:gridCol w:w="2611"/>
        <w:gridCol w:w="146"/>
        <w:gridCol w:w="288"/>
        <w:gridCol w:w="922"/>
        <w:gridCol w:w="199"/>
        <w:gridCol w:w="199"/>
        <w:gridCol w:w="288"/>
        <w:gridCol w:w="1148"/>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(income)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14,664</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cash flow information related to leases are as follows:</w:t>
      </w:r>
    </w:p>
    <w:p>
      <w:pPr>
        <w:pStyle w:val="TextBody"/>
        <w:bidi w:val="0"/>
        <w:jc w:val="both"/>
        <w:rPr/>
      </w:pPr>
      <w:r>
        <w:rPr/>
        <w:t> </w:t>
      </w:r>
    </w:p>
    <w:tbl>
      <w:tblPr>
        <w:tblW w:w="9347" w:type="dxa"/>
        <w:jc w:val="left"/>
        <w:tblInd w:w="0" w:type="dxa"/>
        <w:tblLayout w:type="fixed"/>
        <w:tblCellMar>
          <w:top w:w="28" w:type="dxa"/>
          <w:left w:w="28" w:type="dxa"/>
          <w:bottom w:w="28" w:type="dxa"/>
          <w:right w:w="28" w:type="dxa"/>
        </w:tblCellMar>
      </w:tblPr>
      <w:tblGrid>
        <w:gridCol w:w="5866"/>
        <w:gridCol w:w="146"/>
        <w:gridCol w:w="278"/>
        <w:gridCol w:w="970"/>
        <w:gridCol w:w="218"/>
        <w:gridCol w:w="192"/>
        <w:gridCol w:w="278"/>
        <w:gridCol w:w="1108"/>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expense (operating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87,579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lease liabilities (operating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(152,335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balance sheet information related to leases was as follows:</w:t>
      </w:r>
    </w:p>
    <w:p>
      <w:pPr>
        <w:pStyle w:val="TextBody"/>
        <w:bidi w:val="0"/>
        <w:jc w:val="both"/>
        <w:rPr/>
      </w:pPr>
      <w:r>
        <w:rPr/>
        <w:t> </w:t>
      </w:r>
    </w:p>
    <w:tbl>
      <w:tblPr>
        <w:tblW w:w="6750" w:type="dxa"/>
        <w:jc w:val="left"/>
        <w:tblInd w:w="0" w:type="dxa"/>
        <w:tblLayout w:type="fixed"/>
        <w:tblCellMar>
          <w:top w:w="28" w:type="dxa"/>
          <w:left w:w="28" w:type="dxa"/>
          <w:bottom w:w="28" w:type="dxa"/>
          <w:right w:w="28" w:type="dxa"/>
        </w:tblCellMar>
      </w:tblPr>
      <w:tblGrid>
        <w:gridCol w:w="3121"/>
        <w:gridCol w:w="146"/>
        <w:gridCol w:w="303"/>
        <w:gridCol w:w="972"/>
        <w:gridCol w:w="146"/>
        <w:gridCol w:w="146"/>
        <w:gridCol w:w="409"/>
        <w:gridCol w:w="1316"/>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15" w:type="dxa"/>
        <w:jc w:val="left"/>
        <w:tblInd w:w="0" w:type="dxa"/>
        <w:tblLayout w:type="fixed"/>
        <w:tblCellMar>
          <w:top w:w="28" w:type="dxa"/>
          <w:left w:w="28" w:type="dxa"/>
          <w:bottom w:w="28" w:type="dxa"/>
          <w:right w:w="28" w:type="dxa"/>
        </w:tblCellMar>
      </w:tblPr>
      <w:tblGrid>
        <w:gridCol w:w="3586"/>
        <w:gridCol w:w="146"/>
        <w:gridCol w:w="304"/>
        <w:gridCol w:w="971"/>
        <w:gridCol w:w="146"/>
        <w:gridCol w:w="146"/>
        <w:gridCol w:w="411"/>
        <w:gridCol w:w="1314"/>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760" w:type="dxa"/>
        <w:jc w:val="left"/>
        <w:tblInd w:w="0" w:type="dxa"/>
        <w:tblLayout w:type="fixed"/>
        <w:tblCellMar>
          <w:top w:w="28" w:type="dxa"/>
          <w:left w:w="28" w:type="dxa"/>
          <w:bottom w:w="28" w:type="dxa"/>
          <w:right w:w="28" w:type="dxa"/>
        </w:tblCellMar>
      </w:tblPr>
      <w:tblGrid>
        <w:gridCol w:w="2881"/>
        <w:gridCol w:w="146"/>
        <w:gridCol w:w="304"/>
        <w:gridCol w:w="971"/>
        <w:gridCol w:w="271"/>
        <w:gridCol w:w="146"/>
        <w:gridCol w:w="411"/>
        <w:gridCol w:w="1314"/>
        <w:gridCol w:w="316"/>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minimum lease payments under non-cancellable lease as of June 30, 2025, are as follows:</w:t>
      </w:r>
    </w:p>
    <w:p>
      <w:pPr>
        <w:pStyle w:val="TextBody"/>
        <w:bidi w:val="0"/>
        <w:jc w:val="both"/>
        <w:rPr/>
      </w:pPr>
      <w:r>
        <w:rPr/>
        <w:t> </w:t>
      </w:r>
    </w:p>
    <w:tbl>
      <w:tblPr>
        <w:tblW w:w="3930" w:type="dxa"/>
        <w:jc w:val="left"/>
        <w:tblInd w:w="0" w:type="dxa"/>
        <w:tblLayout w:type="fixed"/>
        <w:tblCellMar>
          <w:top w:w="28" w:type="dxa"/>
          <w:left w:w="28" w:type="dxa"/>
          <w:bottom w:w="28" w:type="dxa"/>
          <w:right w:w="28" w:type="dxa"/>
        </w:tblCellMar>
      </w:tblPr>
      <w:tblGrid>
        <w:gridCol w:w="2686"/>
        <w:gridCol w:w="146"/>
        <w:gridCol w:w="211"/>
        <w:gridCol w:w="676"/>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Maturities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discounting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Investor Relations Consulting Agreement with MZHCI, LLC</w:t>
      </w:r>
    </w:p>
    <w:p>
      <w:pPr>
        <w:pStyle w:val="TextBody"/>
        <w:bidi w:val="0"/>
        <w:jc w:val="both"/>
        <w:rPr>
          <w:rFonts w:ascii="Times New Roman" w:hAnsi="Times New Roman"/>
          <w:color w:val="000000"/>
          <w:sz w:val="20"/>
        </w:rPr>
      </w:pPr>
      <w:r>
        <w:rPr>
          <w:rFonts w:ascii="Times New Roman" w:hAnsi="Times New Roman"/>
          <w:color w:val="000000"/>
          <w:sz w:val="20"/>
        </w:rPr>
        <w:t>On August 26, 2024, the Company entered into an Investor Relations Consulting Agreement (the “Consulting Agreement”) with MZHCI, LLC, a MZ Group Company (“MZHCI”), pursuant to which the Company agreed to issue 2,400 restricted shares, partially in exchange for the various investor relations services outlined in the Consulting Agreement. The Company will also pay MZHCI $12,500 per month for their investor relations services with an annual 5% cost of living adjustment. This agreement becomes effective upon the execution of the Consulting Agreement and shall remain effective for a period of six (6) months, unless terminated earlier. The Consulting Agreement shall automatically renew every six (6) months thereafter unless either party delivers to the other sixty (60) days written notice of termination prior to the end of the then-current term. On September 9, 2024, the Company issued 24,000 shares to MZHCI. The shares are exempt from registration pursuant to Section 4(a)(2) of the Securities Act of 1933, as amended, and were issued as restricted stock with an appropriate restrictive legend.</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Repayment Plans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Perkins Coie LLP</w:t>
      </w:r>
    </w:p>
    <w:p>
      <w:pPr>
        <w:pStyle w:val="TextBody"/>
        <w:bidi w:val="0"/>
        <w:jc w:val="both"/>
        <w:rPr>
          <w:rFonts w:ascii="Times New Roman" w:hAnsi="Times New Roman"/>
          <w:sz w:val="20"/>
        </w:rPr>
      </w:pPr>
      <w:r>
        <w:rPr>
          <w:rFonts w:ascii="Times New Roman" w:hAnsi="Times New Roman"/>
          <w:color w:val="000000"/>
          <w:sz w:val="20"/>
        </w:rPr>
        <w:t xml:space="preserve">On September 9, 2024, the Company entered into a Repayment Agreement (the “Perkins Repayment Agreement”) where the Company agreed to issue $1,385,000 worth of shares, which the Company shall register no fewer than 46,000 shares, subject to adjustment, in a registration statement on Form S-1 within 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had issued 60,000 shares to Perkins to settle part of the outstanding liability balance. The remaining unpaid fee balance of $465,393 to be paid with the issuance of additional shares has not yet been made as of the date of filing of these condensed consolidated financial statements and is included in Accounts Payable on the condensed consolidated balance sheet. Effective as of August 8, 2025, 130,000 class A common shares were registered with the </w:t>
      </w:r>
      <w:r>
        <w:rPr>
          <w:rFonts w:ascii="Times New Roman" w:hAnsi="Times New Roman"/>
          <w:color w:val="212529"/>
          <w:sz w:val="20"/>
        </w:rPr>
        <w:t>Securities and Exchange Commission</w:t>
      </w:r>
      <w:r>
        <w:rPr>
          <w:rFonts w:ascii="Times New Roman" w:hAnsi="Times New Roman"/>
          <w:color w:val="000000"/>
          <w:sz w:val="20"/>
        </w:rPr>
        <w:t xml:space="preserve"> to satisfy the remaining unpaid fee balance.</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Cooley LLP</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19, 2024 the Company entered into a Repayment Agreement with Cooley LLP (“Cooley”) for previously provided legal services (the “Cooley Repayment Agreement”). Under the Cooley Repayment Agreement, the Company’s outstanding fees have been lowered from $1,523,029 to $400,000 (the “Cooley Unpaid Fee”) in exchange for 11 monthly installments of $36,300, with the first payment to be made on October 1, 2024. If payments are not made in accordance with the Repayment Agreement, Cooley retains the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right to seek to collect the entire original outstanding fee balance.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$1.1 million, recognized within Gain on extinguishment of liabilities on the condensed consolidated statement of operations, for the six months ended June 30,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Settlement Letter with CohnReznick LLP</w:t>
      </w:r>
    </w:p>
    <w:p>
      <w:pPr>
        <w:pStyle w:val="TextBody"/>
        <w:bidi w:val="0"/>
        <w:jc w:val="both"/>
        <w:rPr>
          <w:rFonts w:ascii="Times New Roman" w:hAnsi="Times New Roman"/>
          <w:color w:val="000000"/>
          <w:sz w:val="20"/>
        </w:rPr>
      </w:pPr>
      <w:r>
        <w:rPr>
          <w:rFonts w:ascii="Times New Roman" w:hAnsi="Times New Roman"/>
          <w:color w:val="000000"/>
          <w:sz w:val="20"/>
        </w:rPr>
        <w:t>On September 19, 2024, the Company entered into a Settlement Letter with CohnReznick LLP (“CohnReznick”) regarding the Company’s unpaid balance totaling $817,400 for services rendered in connection with the 7GC business combination with the Company (the “Settlement Letter”). Under the Settlement Letter, the Company and CohnReznick agreed to settle the total unpaid balance due, upon CohnReznick’s receipt of $450,000 (the “Settlement Amount”), which will be paid in 15 equal monthly installments of $30,000.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 The remaining unpaid balance of $607,400 is included in Accrued expenses and other current liabilities on the condensed consolidated balance sheet as of June 30, 2025.</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Sidley Austin LLP</w:t>
      </w:r>
    </w:p>
    <w:p>
      <w:pPr>
        <w:pStyle w:val="TextBody"/>
        <w:bidi w:val="0"/>
        <w:jc w:val="both"/>
        <w:rPr>
          <w:rFonts w:ascii="Times New Roman" w:hAnsi="Times New Roman"/>
          <w:color w:val="000000"/>
          <w:sz w:val="20"/>
        </w:rPr>
      </w:pPr>
      <w:r>
        <w:rPr>
          <w:rFonts w:ascii="Times New Roman" w:hAnsi="Times New Roman"/>
          <w:color w:val="000000"/>
          <w:sz w:val="20"/>
        </w:rPr>
        <w:t>On September 19, 2024, the Company entered into a Repayment Agreement with Sidley Austin LLP (“Sidley”) for previously provided legal services (the “Sidley Repayment Agreement”). Under the Sidley Repayment Agreement, the Company’s outstanding fees have been lowered from $4,815,979 to $1,605,326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$3.2 million, recognized within Gain on extinguishment of liabilities on the condensed consolidated statement of operations, for the six months ended June 30, 2025.</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Donnelley Financial LLC</w:t>
      </w:r>
    </w:p>
    <w:p>
      <w:pPr>
        <w:pStyle w:val="TextBody"/>
        <w:bidi w:val="0"/>
        <w:jc w:val="both"/>
        <w:rPr>
          <w:rFonts w:ascii="Times New Roman" w:hAnsi="Times New Roman"/>
          <w:color w:val="000000"/>
          <w:sz w:val="20"/>
        </w:rPr>
      </w:pPr>
      <w:r>
        <w:rPr>
          <w:rFonts w:ascii="Times New Roman" w:hAnsi="Times New Roman"/>
          <w:color w:val="000000"/>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$1,072,148 to $357,025 (the “Donnelley Unpaid Fee”). The Donnelley Unpaid Fee will be paid in 12 monthly installments, with the first monthly payment of $45,000 due on October 1, 2024; the remaining 11 payments shall each be in the amount of $28,366.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$141,829 is included in Accrued expenses and other current liabilities on the condensed consolidated balance sheet as of June 30,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Verista Partners, Inc.</w:t>
      </w:r>
    </w:p>
    <w:p>
      <w:pPr>
        <w:pStyle w:val="TextBody"/>
        <w:bidi w:val="0"/>
        <w:jc w:val="both"/>
        <w:rPr>
          <w:rFonts w:ascii="Times New Roman" w:hAnsi="Times New Roman"/>
          <w:color w:val="000000"/>
          <w:sz w:val="20"/>
        </w:rPr>
      </w:pPr>
      <w:r>
        <w:rPr>
          <w:rFonts w:ascii="Times New Roman" w:hAnsi="Times New Roman"/>
          <w:color w:val="000000"/>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$196,666 (the “Verista Unpaid Fee”). The Company and Verista have agreed that the Verista Unpaid Fee will be repaid with $66,666 worth of shares of the Company, and $130,000 in 16 equal cash installment payments of $8,125, beginning on October 1, 2024, and on the first day of each month thereafter through January 1, 2026. As of June 30, 2025, the Company had issued 3,000 shares and made aggregate installment payments of $78,437 to Verista. The remaining unpaid balance of $64,691 is included in Accounts Payable on the condensed consolidated balance sheet as of June 30,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Payment to Act-On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previously announced its entry into an Agreement and Plan of Merger, dated January 22, 2025, with Act-On Software, Inc., a Delaware corporation (“Act-On”), and Banzai Passage Inc., a Delaware corporation and wholly owned subsidiary of Banzai. Although the Company worked diligently to complete all closing conditions of the Plan of Merger, due to current market conditions, on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contemplated by the Merger Agreement and $882,030 in additional interest and extension fees associated with one of Act-On’s outstanding debts that the Company had intended to payoff in connection with the merger contemplated by the Merger Agreement. As of June 30, 2025, the Company had paid the total amount owed of approximately $1,382,030 to Act-On.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Legal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16. Equity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Class A and B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authorized to issue up to 275,000,000 shares, consisting of 250,000,000 Class A Common Stock, and 25,000,000 shares of Class B Common Stock par value $0.0001 per share.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on a pro rata basis based on the number of shares of Common Stock held by each such holder, assuming conversion of all Class B Common Stock into Class A Common Stock at a one to one conversion ratio.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2,478,587 shares (2,247,473 Class A Common Stock and 231,114 Class B Common Stock) issued and outstanding at June 30, 2025 and 819,516 shares (588,402 Class A Common Stock and 231,114 Class B Common Stock) issued and outstanding at December 31,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authorized to issue 75,000,000 shares of preferred stock with a par value of $0.0001 per share. The board of directors of the Company (the “Board”) has the authority to issue preferred stock and to determine the rights, privileges, preferences, restrictions, and voting rights of those shares. As of June 30, 2025 and 2024, one and no shares of preferred stock were outstanding,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Yorkville Standby Equity Purchase Agreement ("SEPA")</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advance (each, an “Advance”) the Company requests under the SEPA (notice of such request, an “Advance Notice”) may be for a number of shares of Class A common stock up to the greater of (i) 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95% of the average daily Volume Weighted Average Price (“VWAP”) of the Class A Common Stock on the Nasdaq Stock Market (“Nasdaq”), subject to certain conditions per the SEPA (the “Option 1 Pricing Period; 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96% of the lowest daily VWAP of the Class A Common Stock during the three trading days commencing on the Advance Notice date, subject to certain conditions per the SEPA (the “Option 2 Pricing Period”).</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SEPA Option was determined to be a freestanding financial instrument which did not meet the criteria to be accounted for as a derivative instrument or to be recognized within equity. Pursuant to ASC 815 </w:t>
      </w:r>
      <w:r>
        <w:rPr>
          <w:rFonts w:ascii="Times New Roman" w:hAnsi="Times New Roman"/>
          <w:i/>
          <w:color w:val="000000"/>
          <w:sz w:val="20"/>
        </w:rPr>
        <w:t xml:space="preserve">Derivatives and Hedging </w:t>
      </w:r>
      <w:r>
        <w:rPr>
          <w:rFonts w:ascii="Times New Roman" w:hAnsi="Times New Roman"/>
          <w:color w:val="000000"/>
          <w:sz w:val="20"/>
        </w:rPr>
        <w:t xml:space="preserve">("ASC 815"), the Company will therefore recognize the SEPA Option as an asset or liability, measured at fair value at the date of issuance, December 14, 2023, and in subsequent reporting periods, with changes in fair value recognized in earnings.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1,420 Class A common stock as payment for the Deferred Fee.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$5,000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$1,000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$1,000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and six months ended June 30,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six months ended June 30, 2025 the Company requested the purchase of a total of 501,000 shares of the Company’s Class A common stock in connection with the Option 1 Advances, which Yorkville purchased for a total purchase price of approximately $4,257,000. The Company recognized a loss of approximately $221,000 on the sales, which represents the difference between the fair value of the shares issued and the proceeds received from the sales. </w:t>
      </w:r>
    </w:p>
    <w:p>
      <w:pPr>
        <w:pStyle w:val="TextBody"/>
        <w:bidi w:val="0"/>
        <w:jc w:val="both"/>
        <w:rPr>
          <w:rFonts w:ascii="Times New Roman" w:hAnsi="Times New Roman"/>
          <w:sz w:val="20"/>
        </w:rPr>
      </w:pPr>
      <w:r>
        <w:rPr>
          <w:rFonts w:ascii="Times New Roman" w:hAnsi="Times New Roman"/>
          <w:color w:val="000000"/>
          <w:sz w:val="20"/>
        </w:rPr>
        <w:t xml:space="preserve">During the six months ended June 30, 2025 the Company requested the purchase of a total of 763,680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Topic 815, </w:t>
      </w:r>
      <w:r>
        <w:rPr>
          <w:rFonts w:ascii="Times New Roman" w:hAnsi="Times New Roman"/>
          <w:i/>
          <w:color w:val="000000"/>
          <w:sz w:val="20"/>
        </w:rPr>
        <w:t>Derivatives and Hedging</w:t>
      </w:r>
      <w:r>
        <w:rPr>
          <w:rFonts w:ascii="Times New Roman" w:hAnsi="Times New Roman"/>
          <w:color w:val="000000"/>
          <w:sz w:val="20"/>
        </w:rPr>
        <w:t xml:space="preserve">. As such, upon issuance of the Advance Notices for the Option 2 Advances, the Company recognized derivative liabilities totaling approximately $415,000 in the aggregate, the fair values of which represented the intrinsic value of the requested number of shares of Class A common stock on the Advance Notice dates. The Company recognized a loss of approximately $169,000 during the six months ended June 30, 2025 representing the change in fair value of the derivative liabilities during the period from the Advance Notice dates and the settlement dates of the Option 2 Advances. Upon settlement of the Option 2 Advances, the Company sold an aggregate of 738,630 shares of the Company’s Class A common stock to Yorkville for total proceeds of approximately $8,608,000. </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Additionally, during the six months ended June 30, 2025, the Company settled one Advance Notice subject to the Option 2 Pricing Period issued on December 30, 2024, and accordingly sold 30,489 of the Company’s Class A common stock to Yorkville for proceeds of approximately $48,000.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Hudson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 2025, the Company issued 15,000 restricted shares of its Common Stock, with a determined fair value of $232,500, partially in exchange for the business advisory services outlined in the consulting agreement with Hudson Global Ventures, LLC, a Nevada limited liability company ("Hudson"). On April 25, 2025, the Company issued 40,000 restricted shares of its Class A Common Stock to Hudson, in exchange for certain business advisory services as outlined in a consulting agreement with Hudson, executed on April 1, 2025.</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Verista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August 26, 2024, the Company issued 3,000 shares of its Common Stock, with a determined fair value of $49,800, in partial settlement of amounts owing to Verista. Refer to </w:t>
      </w:r>
      <w:r>
        <w:rPr>
          <w:rFonts w:ascii="Times New Roman" w:hAnsi="Times New Roman"/>
          <w:i/>
          <w:color w:val="000000"/>
          <w:sz w:val="20"/>
        </w:rPr>
        <w:t>Note 15</w:t>
      </w:r>
      <w:r>
        <w:rPr>
          <w:rFonts w:ascii="Times New Roman" w:hAnsi="Times New Roman"/>
          <w:color w:val="000000"/>
          <w:sz w:val="20"/>
        </w:rPr>
        <w:t xml:space="preserve"> - </w:t>
      </w:r>
      <w:r>
        <w:rPr>
          <w:rFonts w:ascii="Times New Roman" w:hAnsi="Times New Roman"/>
          <w:i/>
          <w:color w:val="000000"/>
          <w:sz w:val="20"/>
        </w:rPr>
        <w:t>Commitments and Contingencies</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Shares Issued for RSU</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March 6, 2025, holders of 33,777 Restricted Stock Units (RSU's), previously granted during the 2024 financial year, exercised those RSU's in exchange for 33,777 shares of Class A Common Stock of the Company. During the three months ended June 30, 2025, holders of 43,674 RSU's exercised those RSU's in exchange for 43,674 shares of Class A Common Stock of the Company.</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Vidello Acquisition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disclosed above, on January 31, 2025, the Company closed a previously announced merger with Vidello. As part of the consideration paid to the Vidello Shareholders, the Company issued 89,820 shares of Class A Common Stock, with a determined fair value of $1,661,677. Refer to </w:t>
      </w:r>
      <w:r>
        <w:rPr>
          <w:rFonts w:ascii="Times New Roman" w:hAnsi="Times New Roman"/>
          <w:i/>
          <w:color w:val="000000"/>
          <w:sz w:val="20"/>
        </w:rPr>
        <w:t>Note 4</w:t>
      </w:r>
      <w:r>
        <w:rPr>
          <w:rFonts w:ascii="Times New Roman" w:hAnsi="Times New Roman"/>
          <w:color w:val="000000"/>
          <w:sz w:val="20"/>
        </w:rPr>
        <w:t xml:space="preserve"> - </w:t>
      </w:r>
      <w:r>
        <w:rPr>
          <w:rFonts w:ascii="Times New Roman" w:hAnsi="Times New Roman"/>
          <w:i/>
          <w:color w:val="000000"/>
          <w:sz w:val="20"/>
        </w:rPr>
        <w:t>Acquisition of Vidello</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prefunded warrant exercise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21, 2025, the Company issued 104,882 shares of Class A Common Stock to Alco, resulting from the exercise by Alco of prefunded warrants purchased during September 2024.</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private placement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 private placement agreement with certain investors to sell 31,884 shares of Class A common stock at $6.90 per share and 32,352 prefunded warrants (the "May 2025 Prefunded Warrants") at $3.40 per warrant. The May 2025 Prefunded Warrants were immediately exercised, resulting in the issuance of 32,352 shares of Class A common stock. The Company collected in aggregate $330,000 of gross proceeds from this private placement.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17. 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2023, the Company adopted the 2023 Employee Stock Purchase Plan (the "Purchase Plan"). The Purchase Plan permits eligible employees of the Company and certain designated companies as determined by the Board of Directors, to purchase shares of the Company's Common Stock. The aggregate number of shares of common stock that may be purchased pursuant to the Purchase Plan is equal to 2% of the fully diluted common stock determined at the Close of the Merger Agreement, determined to be 1,144. In addition, the aggregate number of shares of common stock that remain available to be awarded under the Purchase Plan, will automatically increase on January 1 of each year for a period of 10 years commencing on January 1, 2024 and ending on January 1, 2033, in an amount equal to the lesser of one percent (1%) of the total number of shares of the fully diluted common stock determined as of December 31 of the preceding year, or a number of shares of common stock equal to two hundred percent (200%) of the initial share reserve of 1,144. As of June 30, 2025 and December 31, 2024, 26,039 and 1,156 shares of common stock remain available to be purchased under the Purchase Plan,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2023, the Company adopted the 2023 Equity Incentive Plan (the “Plan”). The Plan permits the granting of incentive stock options, nonstatutory stock options, SARs, restricted stock awards, RSU awards, performance awards, and other awards. to employees, directors, and consultants. The aggregate number of shares of common stock that may be issued will not exceed approximately 12.5% of the fully diluted common stock determined at the Close of the Merger, determined to be approximately 7,152. In addition, the aggregate number of shares of common stock that remain available to be awarded under the Plan, will automatically increase on January 1 of each year for a period of ten years commencing on January 1, 2024 and ending on January 1, 2033, in an amount equal to 5% of the total number of shares of the fully diluted common stock determined as of the day prior to such increase. As of June 30, 2025 and December 31, 2024, 695,748 and 232 stock options remain available to be awarded under the Plan, respectively.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accounts for stock-based payments pursuant to ASC 718 </w:t>
      </w:r>
      <w:r>
        <w:rPr>
          <w:rFonts w:ascii="Times New Roman" w:hAnsi="Times New Roman"/>
          <w:i/>
          <w:color w:val="000000"/>
          <w:sz w:val="20"/>
        </w:rPr>
        <w:t>Stock Compensation</w:t>
      </w:r>
      <w:r>
        <w:rPr>
          <w:rFonts w:ascii="Times New Roman" w:hAnsi="Times New Roman"/>
          <w:color w:val="000000"/>
          <w:sz w:val="20"/>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assumptions used to compute the fair value of options granted:</w:t>
      </w:r>
    </w:p>
    <w:p>
      <w:pPr>
        <w:pStyle w:val="TextBody"/>
        <w:bidi w:val="0"/>
        <w:jc w:val="both"/>
        <w:rPr/>
      </w:pPr>
      <w:r>
        <w:rPr/>
        <w:t> </w:t>
      </w:r>
    </w:p>
    <w:tbl>
      <w:tblPr>
        <w:tblW w:w="5050" w:type="dxa"/>
        <w:jc w:val="left"/>
        <w:tblInd w:w="0" w:type="dxa"/>
        <w:tblLayout w:type="fixed"/>
        <w:tblCellMar>
          <w:top w:w="28" w:type="dxa"/>
          <w:left w:w="28" w:type="dxa"/>
          <w:bottom w:w="28" w:type="dxa"/>
          <w:right w:w="28" w:type="dxa"/>
        </w:tblCellMar>
      </w:tblPr>
      <w:tblGrid>
        <w:gridCol w:w="2086"/>
        <w:gridCol w:w="146"/>
        <w:gridCol w:w="1276"/>
        <w:gridCol w:w="146"/>
        <w:gridCol w:w="139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$145 - 305</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$145 - 2,500</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75.00 - 85.00%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5.75 - 10.00</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4.20 - 4.50%</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stock option activity under the Plan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46"/>
        <w:gridCol w:w="146"/>
        <w:gridCol w:w="281"/>
        <w:gridCol w:w="1307"/>
        <w:gridCol w:w="166"/>
        <w:gridCol w:w="146"/>
        <w:gridCol w:w="365"/>
        <w:gridCol w:w="1432"/>
        <w:gridCol w:w="146"/>
        <w:gridCol w:w="146"/>
        <w:gridCol w:w="641"/>
        <w:gridCol w:w="2055"/>
        <w:gridCol w:w="146"/>
        <w:gridCol w:w="146"/>
        <w:gridCol w:w="392"/>
        <w:gridCol w:w="647"/>
        <w:gridCol w:w="197"/>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Underlying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issuances under the Plan, the Company recorded stock-based compensation expense related to stock options of $50,052 and $37,311, which is included in general and administrative expense for the six months ended June 30, 2025 and 2024, respectively. The weighted-average grant-date fair value per option granted during the six months ended June 30, 2025 and 2024 was $12 and $85, respectively. As of June 30, 2025 and 2024, $270,624 and $1,262,655 of unrecognized compensation expense related to non-vested awards is expected to be recognized over the weighted average period of 9.37 and 3.8 years, respectively. The aggregate intrinsic value is calculated as the difference between the fair value of the Company’s stock price and the exercise price of the options.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(a) four years - 25% of the RSUs will vest on each anniversary, or (b) one year - will vest quarterly,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summary of the activity with respect to, and status of, RSUs during the six months ended June 30, 2025 is presented below: </w:t>
      </w:r>
    </w:p>
    <w:p>
      <w:pPr>
        <w:pStyle w:val="TextBody"/>
        <w:bidi w:val="0"/>
        <w:jc w:val="both"/>
        <w:rPr/>
      </w:pPr>
      <w:r>
        <w:rPr/>
        <w:t> </w:t>
      </w:r>
    </w:p>
    <w:tbl>
      <w:tblPr>
        <w:tblW w:w="8147" w:type="dxa"/>
        <w:jc w:val="left"/>
        <w:tblInd w:w="0" w:type="dxa"/>
        <w:tblLayout w:type="fixed"/>
        <w:tblCellMar>
          <w:top w:w="28" w:type="dxa"/>
          <w:left w:w="28" w:type="dxa"/>
          <w:bottom w:w="28" w:type="dxa"/>
          <w:right w:w="28" w:type="dxa"/>
        </w:tblCellMar>
      </w:tblPr>
      <w:tblGrid>
        <w:gridCol w:w="2941"/>
        <w:gridCol w:w="146"/>
        <w:gridCol w:w="146"/>
        <w:gridCol w:w="781"/>
        <w:gridCol w:w="166"/>
        <w:gridCol w:w="146"/>
        <w:gridCol w:w="979"/>
        <w:gridCol w:w="2651"/>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six months ended June 30, 2025 and June 30, 2024, the Company recorded stock-based compensation expense related to RSUs of $1,042,639 and $208,178, respectively, which is included in general and administrative expense. As of June 30, 2025 and 2024, unrecognized compensation cost related to the grant of RSUs was $2,335,545 and $263,144, respectively. Unvested outstanding RSUs as of June 30, 2025 and 2024 had a weighted average remaining vesting period of 1.96 and 1.3 years, respectively.</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18. Income Taxes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estimates an annual effective tax rate of 0% in relation to its US operations for the year ended December 31, 2025. The worldwide effective tax rate for the three months ended June 30, 2025 is 2.88%. The effective tax rate is due to the Company’s operations in England and Wales derived by the Vidello Merger. The Vidello operations in England and Wales are subject to a statutory corporate tax rate of 25%. For the three months ended June 30, 2025, the Company is not using an estimated annual effective tax rate methodology in relation to the Vidello operations.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 </w:t>
      </w:r>
    </w:p>
    <w:p>
      <w:pPr>
        <w:pStyle w:val="TextBody"/>
        <w:bidi w:val="0"/>
        <w:jc w:val="both"/>
        <w:rPr>
          <w:rFonts w:ascii="Times New Roman" w:hAnsi="Times New Roman"/>
          <w:color w:val="000000"/>
          <w:sz w:val="20"/>
        </w:rPr>
      </w:pPr>
      <w:r>
        <w:rPr>
          <w:rFonts w:ascii="Times New Roman" w:hAnsi="Times New Roman"/>
          <w:color w:val="000000"/>
          <w:sz w:val="20"/>
        </w:rPr>
        <w:t>At June 30, 2025, the Company had no unrecognized tax benefits that would reduce the Company’s effective tax rate if recognized.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19. Segment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three reportable operating segments, Banzai Operating Co, Inc., Banzai Reel Acquisition Inc. (OpenReel), and Vidello Limited (Vidello). The Company’s segments deliver SaaS tools that leverage data, analytics, and AI to provide marketing and sales solutions, including video production and editing, for businesses of all sizes. </w:t>
      </w:r>
    </w:p>
    <w:p>
      <w:pPr>
        <w:pStyle w:val="TextBody"/>
        <w:bidi w:val="0"/>
        <w:jc w:val="both"/>
        <w:rPr>
          <w:rFonts w:ascii="Times New Roman" w:hAnsi="Times New Roman"/>
          <w:color w:val="000000"/>
          <w:sz w:val="20"/>
        </w:rPr>
      </w:pPr>
      <w:r>
        <w:rPr>
          <w:rFonts w:ascii="Times New Roman" w:hAnsi="Times New Roman"/>
          <w:color w:val="000000"/>
          <w:sz w:val="20"/>
        </w:rPr>
        <w:t xml:space="preserve">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tables below present information about reported segments for the three and six months ending June 30,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87"/>
        <w:gridCol w:w="146"/>
        <w:gridCol w:w="243"/>
        <w:gridCol w:w="1144"/>
        <w:gridCol w:w="166"/>
        <w:gridCol w:w="146"/>
        <w:gridCol w:w="211"/>
        <w:gridCol w:w="931"/>
        <w:gridCol w:w="346"/>
        <w:gridCol w:w="346"/>
        <w:gridCol w:w="211"/>
        <w:gridCol w:w="781"/>
        <w:gridCol w:w="346"/>
        <w:gridCol w:w="346"/>
        <w:gridCol w:w="252"/>
        <w:gridCol w:w="1189"/>
        <w:gridCol w:w="314"/>
      </w:tblGrid>
      <w:tr>
        <w:trPr/>
        <w:tc>
          <w:tcPr>
            <w:tcW w:w="3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1,386,938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728,766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3,262,250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77,694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554,515</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1,309,244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620,418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2,707,735</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1,666,087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103,059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576,190</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551,381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832,971</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1,126,959</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596,704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203,458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4,202,207</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712,540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416,960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(1,494,472</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PubCo. Expenses and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2,910,596</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(5,515,911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693,883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416,960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(4,405,068</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15"/>
        <w:gridCol w:w="146"/>
        <w:gridCol w:w="231"/>
        <w:gridCol w:w="1201"/>
        <w:gridCol w:w="166"/>
        <w:gridCol w:w="146"/>
        <w:gridCol w:w="211"/>
        <w:gridCol w:w="931"/>
        <w:gridCol w:w="346"/>
        <w:gridCol w:w="346"/>
        <w:gridCol w:w="211"/>
        <w:gridCol w:w="931"/>
        <w:gridCol w:w="346"/>
        <w:gridCol w:w="346"/>
        <w:gridCol w:w="248"/>
        <w:gridCol w:w="1171"/>
        <w:gridCol w:w="313"/>
      </w:tblGrid>
      <w:tr>
        <w:trPr/>
        <w:tc>
          <w:tcPr>
            <w:tcW w:w="2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2,828,481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1,506,560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6,641,333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152,502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262,941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1,160,514</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2,675,979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1,243,619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5,480,819</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3,959,681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278,351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1,585,695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1,070,261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1,652,455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262,536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2,005,729</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1,264,677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592,460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9,203,560</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1,411,302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651,159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(3,722,741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PubCo. Expenses and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320,482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5,342,331</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1,090,820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651,159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(9,065,072</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Other segment expenses for each reportable segment includes travel and entertainment expenses, professional expenses other than those included in transaction and PubCo. expenses, insurance expenses, and expenses related to licenses.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tables below present information about reported segments for the three and six months ending June 30,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55"/>
        <w:gridCol w:w="146"/>
        <w:gridCol w:w="248"/>
        <w:gridCol w:w="1168"/>
        <w:gridCol w:w="166"/>
        <w:gridCol w:w="146"/>
        <w:gridCol w:w="381"/>
        <w:gridCol w:w="625"/>
        <w:gridCol w:w="346"/>
        <w:gridCol w:w="346"/>
        <w:gridCol w:w="301"/>
        <w:gridCol w:w="495"/>
        <w:gridCol w:w="346"/>
        <w:gridCol w:w="346"/>
        <w:gridCol w:w="258"/>
        <w:gridCol w:w="1218"/>
        <w:gridCol w:w="314"/>
      </w:tblGrid>
      <w:tr>
        <w:trPr/>
        <w:tc>
          <w:tcPr>
            <w:tcW w:w="3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OpenReel</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Vidello</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1,068,197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330,008</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738,189</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1,323,758</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561,008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221,638</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2,220,407</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(1,482,218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PubCo. Expenses and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1,888,827</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(3,371,045</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55"/>
        <w:gridCol w:w="146"/>
        <w:gridCol w:w="248"/>
        <w:gridCol w:w="1168"/>
        <w:gridCol w:w="166"/>
        <w:gridCol w:w="146"/>
        <w:gridCol w:w="381"/>
        <w:gridCol w:w="625"/>
        <w:gridCol w:w="346"/>
        <w:gridCol w:w="346"/>
        <w:gridCol w:w="301"/>
        <w:gridCol w:w="495"/>
        <w:gridCol w:w="346"/>
        <w:gridCol w:w="346"/>
        <w:gridCol w:w="258"/>
        <w:gridCol w:w="1218"/>
        <w:gridCol w:w="314"/>
      </w:tblGrid>
      <w:tr>
        <w:trPr/>
        <w:tc>
          <w:tcPr>
            <w:tcW w:w="3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OpenReel</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Vidello</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2,147,669</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711,388</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1,436,281</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2,576,425</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929,746</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430,425</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991,631</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4,928,227</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(3,491,946</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PubCo. Expenses and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3,279,795</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(6,771,741</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The OpenReel acquisition occurred on December 18, 2024 and therefore is presented at $0 for comparative purposes. The Vidello acquisition occurred on January 31, 2025 (refer to </w:t>
      </w:r>
      <w:r>
        <w:rPr>
          <w:rFonts w:ascii="Times New Roman" w:hAnsi="Times New Roman"/>
          <w:i/>
          <w:color w:val="000000"/>
          <w:sz w:val="20"/>
        </w:rPr>
        <w:t>Note 4</w:t>
      </w:r>
      <w:r>
        <w:rPr>
          <w:rFonts w:ascii="Times New Roman" w:hAnsi="Times New Roman"/>
          <w:color w:val="000000"/>
          <w:sz w:val="20"/>
        </w:rPr>
        <w:t>) and therefore is presented at $0 for comparative purposes.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 xml:space="preserve">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between EBITDA by reportable segment to consolidated net loss before income taxes for the three months ended June 30, 2025, and 2024, is as follows:</w:t>
      </w:r>
    </w:p>
    <w:p>
      <w:pPr>
        <w:pStyle w:val="TextBody"/>
        <w:bidi w:val="0"/>
        <w:jc w:val="left"/>
        <w:rPr/>
      </w:pPr>
      <w:r>
        <w:rPr/>
        <w:t> </w:t>
      </w:r>
    </w:p>
    <w:tbl>
      <w:tblPr>
        <w:tblW w:w="7165" w:type="dxa"/>
        <w:jc w:val="left"/>
        <w:tblInd w:w="0" w:type="dxa"/>
        <w:tblLayout w:type="fixed"/>
        <w:tblCellMar>
          <w:top w:w="28" w:type="dxa"/>
          <w:left w:w="28" w:type="dxa"/>
          <w:bottom w:w="28" w:type="dxa"/>
          <w:right w:w="28" w:type="dxa"/>
        </w:tblCellMar>
      </w:tblPr>
      <w:tblGrid>
        <w:gridCol w:w="3946"/>
        <w:gridCol w:w="146"/>
        <w:gridCol w:w="223"/>
        <w:gridCol w:w="1052"/>
        <w:gridCol w:w="166"/>
        <w:gridCol w:w="146"/>
        <w:gridCol w:w="223"/>
        <w:gridCol w:w="1052"/>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Banzai Operating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(3,371,045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OpenReel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(3,371,045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extinguishment of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settlement fee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Yorkville prepayment premium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(8,377,725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(3,948,704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between EBITDA by reportable segment to consolidated net loss before income taxes for the six months ended June 30, 2025, and 2024, is as follows:</w:t>
      </w:r>
    </w:p>
    <w:p>
      <w:pPr>
        <w:pStyle w:val="TextBody"/>
        <w:bidi w:val="0"/>
        <w:jc w:val="both"/>
        <w:rPr/>
      </w:pPr>
      <w:r>
        <w:rPr/>
        <w:t> </w:t>
      </w:r>
    </w:p>
    <w:tbl>
      <w:tblPr>
        <w:tblW w:w="7197" w:type="dxa"/>
        <w:jc w:val="left"/>
        <w:tblInd w:w="0" w:type="dxa"/>
        <w:tblLayout w:type="fixed"/>
        <w:tblCellMar>
          <w:top w:w="28" w:type="dxa"/>
          <w:left w:w="28" w:type="dxa"/>
          <w:bottom w:w="28" w:type="dxa"/>
          <w:right w:w="28" w:type="dxa"/>
        </w:tblCellMar>
      </w:tblPr>
      <w:tblGrid>
        <w:gridCol w:w="3946"/>
        <w:gridCol w:w="146"/>
        <w:gridCol w:w="211"/>
        <w:gridCol w:w="1096"/>
        <w:gridCol w:w="166"/>
        <w:gridCol w:w="146"/>
        <w:gridCol w:w="223"/>
        <w:gridCol w:w="1052"/>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Banzai Operating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(6,771,741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OpenReel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(9,065,072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847,418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962,987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extinguishment of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settlement fee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Yorkville prepayment premium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(11,947,673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(8,239,768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Disaggregation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percentage of revenue generated by SaaS product for the three months ended June 30, 2025, and 2024:</w:t>
      </w:r>
    </w:p>
    <w:p>
      <w:pPr>
        <w:pStyle w:val="TextBody"/>
        <w:bidi w:val="0"/>
        <w:jc w:val="left"/>
        <w:rPr/>
      </w:pPr>
      <w:r>
        <w:rPr/>
        <w:t> </w:t>
      </w:r>
    </w:p>
    <w:tbl>
      <w:tblPr>
        <w:tblW w:w="9694" w:type="dxa"/>
        <w:jc w:val="left"/>
        <w:tblInd w:w="0" w:type="dxa"/>
        <w:tblLayout w:type="fixed"/>
        <w:tblCellMar>
          <w:top w:w="28" w:type="dxa"/>
          <w:left w:w="28" w:type="dxa"/>
          <w:bottom w:w="28" w:type="dxa"/>
          <w:right w:w="28" w:type="dxa"/>
        </w:tblCellMar>
      </w:tblPr>
      <w:tblGrid>
        <w:gridCol w:w="1021"/>
        <w:gridCol w:w="146"/>
        <w:gridCol w:w="373"/>
        <w:gridCol w:w="1472"/>
        <w:gridCol w:w="271"/>
        <w:gridCol w:w="146"/>
        <w:gridCol w:w="373"/>
        <w:gridCol w:w="1472"/>
        <w:gridCol w:w="271"/>
        <w:gridCol w:w="146"/>
        <w:gridCol w:w="331"/>
        <w:gridCol w:w="1304"/>
        <w:gridCol w:w="271"/>
        <w:gridCol w:w="146"/>
        <w:gridCol w:w="331"/>
        <w:gridCol w:w="1304"/>
        <w:gridCol w:w="31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OpenReel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disaggregation of revenue by geographic area, refer to </w:t>
      </w:r>
      <w:r>
        <w:rPr>
          <w:rFonts w:ascii="Times New Roman" w:hAnsi="Times New Roman"/>
          <w:i/>
          <w:color w:val="000000"/>
          <w:sz w:val="20"/>
        </w:rPr>
        <w:t>Note 6</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 Subsequent Events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CFO Appointment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 2025, Mr. Dean Ditto was appointed to serve as Banzai International, Inc.’s (the “Company”) Chief Financial Officer, effective immediately. Mr. Ditto replaces Interim Chief Financial Officer, Alvin Yip. There are no family relationships between Mr. Ditto and any of the Company’s directors or other executive officers. There is no arrangement or understanding between Mr. Ditto and any other person pursuant to which Mr. Ditto was selected as Chief Financial Officer. There have been no transactions involving Mr. Ditto that would be required to be disclosed by Item 404(a) of Regulation S-K.</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1800 Diagonal Note Conversions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22, 2025, the Company received a notice of conversion from 1800 Diagonal electing to convert $53,664 outstanding of the December 1800 Diagonal Note pursuant to the terms of the December 1800 Diagonal Note, issuing 19,986 shares of Class A Common Stock at a conversion price of $2.685.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23, 2025, the Company received a notice of conversion from 1800 Diagonal electing to convert $18,888 outstanding of the September 1800 Diagonal Note pursuant to the terms of the September 1800 Diagonal Note, issuing 7,034 shares of Class A Common Stock at a conversion price of $2.685.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11, 2025, the Company received a notice of conversion from 1800 Diagonal electing to convert $71,052 outstanding of the February 1800 Diagonal Note pursuant to the terms of the February 1800 Diagonal Note, issuing 32,780 shares of Class A Common Stock at a conversion price of $2.167.</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July 1800 Diagonal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23, 2025, the Company entered into a Securities Purchase Agreement with 1800 Diagonal, in connection with the issuance of a convertible promissory note, in the aggregate principal amount of $295,550. The maturity date of the note is May 30, 2026. The note was issued with an approximately thirteen percent (13%) original issue discount and bears interest at an annual rate of twelve percent (12%). </w:t>
      </w:r>
    </w:p>
    <w:p>
      <w:pPr>
        <w:pStyle w:val="TextBody"/>
        <w:bidi w:val="0"/>
        <w:jc w:val="both"/>
        <w:rPr>
          <w:rFonts w:ascii="Times New Roman" w:hAnsi="Times New Roman"/>
          <w:color w:val="000000"/>
          <w:sz w:val="20"/>
        </w:rPr>
      </w:pPr>
      <w:r>
        <w:rPr>
          <w:rFonts w:ascii="Times New Roman" w:hAnsi="Times New Roman"/>
          <w:color w:val="000000"/>
          <w:sz w:val="20"/>
        </w:rPr>
        <w:t>The Company shall repay the note in installments, beginning on January 30, 2026, and continuing monthly through May 30, 2026 (each, an "Installment Date") in an amount equal to the sum of (i) $165,508 of principal in respect to the first Installment Date, and $41,377 in respect of each following monthly Installment Date, respectively (or the outstanding principal if less than such amount).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Note is convertible into shares of the Company's Class A Common Stock, par value $0.0001 per share (the "Class A Common Stock") at a conversion price equal to 75% of the Market Price (as defined within the agreement), but only on an event of default.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Yorkville Advanced Notice Settlements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July 1, 2025 and August 7, 2025, the Company settled Advance Notices received subsequent to June 30, 2025, by selling an aggregate of 880,000 shares of Class A Common Stock to Yorkville for an aggregate total purchase price of approximately $3,102,000.</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8" w:name="item_2_management_discussion_analysis"/>
      <w:bookmarkEnd w:id="8"/>
      <w:r>
        <w:rPr>
          <w:rFonts w:ascii="Times New Roman" w:hAnsi="Times New Roman"/>
          <w:b/>
          <w:color w:val="000000"/>
          <w:sz w:val="20"/>
        </w:rPr>
        <w:t>Item 2. Management’s Discussion and Analysis of Financial Condition</w:t>
      </w:r>
      <w:r>
        <w:rPr>
          <w:rFonts w:ascii="Times New Roman" w:hAnsi="Times New Roman"/>
          <w:color w:val="000000"/>
          <w:sz w:val="20"/>
        </w:rPr>
        <w:t xml:space="preserve"> </w:t>
      </w:r>
      <w:r>
        <w:rPr>
          <w:rFonts w:ascii="Times New Roman" w:hAnsi="Times New Roman"/>
          <w:b/>
          <w:color w:val="000000"/>
          <w:sz w:val="20"/>
        </w:rPr>
        <w:t>and Results of Operations.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that are included elsewhere in this Form 10-Q. In addition to historical condensed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more fully described in this report and those more fully described elsewhere in this report and in the "Risk Factors" section of our annual report on form 10-K.</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condensed consolidated financial statements or in the associated text. Certain other amounts that appear in this section may similarly not sum due to rounding.</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Our customer base included over 4,590 customers as of June 30, 2025, and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 Progress towards this is reflected in our increase in multi-host Demio customers from 14 on January 1, 2021 to 89 on June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Banzai’s customer contracts vary in term length from single months to multiple years.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generated revenue of approximately $6.6 million and $2.1 million during the six months ended June 30, 2025 and 2024, respectively. Banzai has incurred significant net losses since inception, including net losses of approximately $11.4 million and $8.2 million for the six months ended June 30, 2025 and 2024, respectively. Banzai had an accumulated deficit of $89.7 million and $78.3 million as of June 30, 2025 and December 31, 2024, respectively.</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Summary of our recent Mergers and Acquisitions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OpenReel Merger</w:t>
      </w:r>
    </w:p>
    <w:p>
      <w:pPr>
        <w:pStyle w:val="TextBody"/>
        <w:bidi w:val="0"/>
        <w:jc w:val="both"/>
        <w:rPr>
          <w:rFonts w:ascii="Times New Roman" w:hAnsi="Times New Roman"/>
          <w:color w:val="212529"/>
          <w:sz w:val="20"/>
        </w:rPr>
      </w:pPr>
      <w:r>
        <w:rPr>
          <w:rFonts w:ascii="Times New Roman" w:hAnsi="Times New Roman"/>
          <w:color w:val="212529"/>
          <w:sz w:val="20"/>
        </w:rPr>
        <w:t xml:space="preserve">On December 18, 2024 (the “OR Closing Date”), we closed the merger (the “Merger”, the consummation of the Merger, the “Closing”) with ClearDoc, Inc., a Delaware corporation doing business as OpenReel (“OpenReel”), pursuant to an Agreement and Plan of Merger (the “OR Merger Agreement”), dated December 10, 2024, by and among the Company, OpenReel, certain stockholders of OpenReel (the “OpenReel Stockholders”), and Banzai Reel Acquisition, Inc., a Delaware corporation and our wholly owned subsidiary (“Merger Sub”), that was formed solely for purposes of consummating the Merger. Upon Closing, the Merger Sub merged with and into OpenReel, with OpenReel being the surviving entity (the “Surviving Entity”) thereafter as our direct and wholly owned subsidiary named “OpenReel, Inc.” </w:t>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At the effective time of the Merger (the “Effective Time”), each share of capital stock of OpenReel issued and outstanding immediately prior to the Effective Time (other than shares as to which dissenter’s rights have been properly exercised and certain other excluded shares) was converted into the right to receive our Common Stock, and pre-funded warrants, each exercisable for one (1) share of Banzai Common Stock at an exercise price of US $0.0001 (the “Pre-Funded Warrants”) issued in lieu thereof, in an amount equal to the quotient of $19,600,000 divided by the Conversion Price (as defined in the OR Merger Agreement) (the “Merger Consideration”).</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Merger Consideration consisted of an aggregate of 93,055 shares of Banzai Common Stock and 1,176,950 Pre-Funded Warrants. The shares of Banzai Common Stock and Pre-Funded Warrants issued by Banzai to the OpenReel Stockholders pursuant to the OR Merger Agreement were issued in reliance upon the exemption from registration provided by Section 4(a)(2) of the Securities Act.</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OpenReel is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w:t>
      </w:r>
    </w:p>
    <w:p>
      <w:pPr>
        <w:pStyle w:val="TextBody"/>
        <w:bidi w:val="0"/>
        <w:jc w:val="left"/>
        <w:rPr/>
      </w:pPr>
      <w:r>
        <w:rPr/>
        <w:t> </w:t>
      </w:r>
    </w:p>
    <w:p>
      <w:pPr>
        <w:pStyle w:val="TextBody"/>
        <w:bidi w:val="0"/>
        <w:jc w:val="both"/>
        <w:rPr>
          <w:rFonts w:ascii="Times New Roman" w:hAnsi="Times New Roman"/>
          <w:i/>
          <w:color w:val="212529"/>
          <w:sz w:val="20"/>
        </w:rPr>
      </w:pPr>
      <w:r>
        <w:rPr>
          <w:rFonts w:ascii="Times New Roman" w:hAnsi="Times New Roman"/>
          <w:i/>
          <w:color w:val="212529"/>
          <w:sz w:val="20"/>
        </w:rPr>
        <w:t>Vidello Acquisition</w:t>
      </w:r>
    </w:p>
    <w:p>
      <w:pPr>
        <w:pStyle w:val="TextBody"/>
        <w:bidi w:val="0"/>
        <w:jc w:val="both"/>
        <w:rPr>
          <w:rFonts w:ascii="Times New Roman" w:hAnsi="Times New Roman"/>
          <w:color w:val="212529"/>
          <w:sz w:val="20"/>
        </w:rPr>
      </w:pPr>
      <w:r>
        <w:rPr>
          <w:rFonts w:ascii="Times New Roman" w:hAnsi="Times New Roman"/>
          <w:color w:val="212529"/>
          <w:sz w:val="20"/>
        </w:rPr>
        <w:t>On January 31, 2025, the Company closed on the Vidello Limited acquisition, a private limited company registered in England and Wales for approximately $2.7 million in cash ($2,500,000 are withheld for indemnification expenses and other holdback provisions in accordance with the Acquisition Agreement, the “Cash Consideration”) and 89,820 shares of Banzai Class A common stock, pursuant to an Acquisition Agreement (the “Acquisition Agreement”), dated December 19, 2024, by and among the Company, Vidello, and certain shareholders of Vidello (the “Vidello Shareholders”). Vidello Shareholders transferred all the outstanding shares of Vidello to the Company, therefore, Vidello became a direct and wholly owned subsidiary of the Company. The Share Consideration to the Vidello Shareholders pursuant to the Acquisition Agreement were issued in reliance upon the exemption from registration provided by Regulation D as promulgated under the Securities Act of 1933, as amended (the “Securities Act”).</w:t>
      </w:r>
    </w:p>
    <w:p>
      <w:pPr>
        <w:pStyle w:val="TextBody"/>
        <w:bidi w:val="0"/>
        <w:jc w:val="both"/>
        <w:rPr>
          <w:rFonts w:ascii="Times New Roman" w:hAnsi="Times New Roman"/>
          <w:color w:val="212529"/>
          <w:sz w:val="20"/>
        </w:rPr>
      </w:pPr>
      <w:r>
        <w:rPr>
          <w:rFonts w:ascii="Times New Roman" w:hAnsi="Times New Roman"/>
          <w:color w:val="212529"/>
          <w:sz w:val="20"/>
        </w:rPr>
        <w:t>Vidello provides a suite of products for 3D video creation, royalty free music, and video marketing, with over $6.5 million in TTM revenue, $2 million in TTM EBITDA, which results are expected to reduce the combined company in operating losses to approximately $1.3 million per year.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212529"/>
          <w:sz w:val="20"/>
        </w:rPr>
        <w:t>Act On</w:t>
      </w:r>
      <w:r>
        <w:rPr>
          <w:rFonts w:ascii="Times New Roman" w:hAnsi="Times New Roman"/>
          <w:color w:val="212529"/>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 Company entered into that certain Agreement and Plan of Merger (the “AO Merger Agreement”), dated January 22, 2025, with Act-On Software, Inc., a Delaware corporation (“Act-On”), and Banzai Passage Inc., a Delaware corporation and wholly owned subsidiary of Banzai (“Merger Sub”). Although the Company worked diligently to complete all closing conditions of the AO Merger Agreement, due to then-current market conditions, on June 6, 2025, Act-On served the Company with a notice of termination to terminate the Merger Agreement and any related agreements (collectively, the “AO Transaction Documents”). As per the AO Transaction Documents, the Company was required to pay certain termination fees including $500,000 in liquidated damages to cover certain transaction expenses Act-On incurred in connection with the merger contemplated by the AO Merger Agreement and $882,029.82 in additional interest and extension fees associated with one of Act-On’s outstanding debts that the Company was going to payoff in connection with the merger contemplated by the AO Merger Agreement. Accordingly, the Company had paid the total amount owed of approximately $1,382,030 to Act-On.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Reverse Stock Split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29, 2024, we held a special meeting of securityholders (the “Special Meeting”). At the Special Meeting, the Company’s securityholders approved the proposal to amend our Second Amended and Restated Certificate of Incorporation to effect a reverse stock split with respect to the Company’s issued and outstanding Class A Common Stock, at a ratio of up to 1-for-50, with the final ratio and exact timing to be determined at the discretion of the Board of Directors. On September 10, 2024, our Board determined to effect a reverse stock split at a ratio of 1-for-50, effective as of September 19, 2024 and filed an amendment with the Secretary of State of the State of Delaware.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27, 2025, the stockholders of the Company collectively approved an amendment to the Company’s Certificate of Incorporation, as amended and restated, to effect a reverse stock split (the “2025 Reverse Stock Split”) of the Company’s Class A Common Stock and Class B Common Stock at a ratio of 1-for-10 effective on July 8,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Nasdaq Listing</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had a hearing before the Nasdaq Hearings Panel (the "Panel") on September 19, 2024 regarding the Company’s noncompliance with certain Nasdaq listing rules. On September 26, 2024, Nasdaq provided the Company with its determination to phase the Company down from the Nasdaq Global Market to the Nasdaq Capital Market (the "Exchange") and grant the Company an extension until January 31, 2025 to demonstrate compliance with Nasdaq's listing rules, so long as the company applies to list on the Nasdaq Capital Market on or before October 7, 2024 and demonstrates compliance with Listing Rules 5550(a)(2), 5550(a)(5) and 5550(b)(1) on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or before January 31, 2024. On February 12, 2025, the Company received a letter from the Nasdaq Stock Market LLC, Office of the General Counsel stating that the Company demonstrated compliance with the requirements for continued listing on the Nasdaq Capital Market and therefore the Company's securities would remain listed thereon.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2025 Financings</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Company may seek to raise additional capital through a private placement leveraging SEPA with the proceeds to support its operation and expansion through acquisition.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212529"/>
          <w:sz w:val="20"/>
        </w:rPr>
        <w:t>H</w:t>
      </w:r>
      <w:r>
        <w:rPr>
          <w:rFonts w:ascii="Times New Roman" w:hAnsi="Times New Roman"/>
          <w:i/>
          <w:color w:val="000000"/>
          <w:sz w:val="20"/>
        </w:rPr>
        <w:t>udson Global Ventures, LLC Consulting Services Agreement</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3, 2025, the Company issued 15,000 restricted shares of its Common Stock, partially in exchange for the business advisory services outlined in the Consulting Agreement with Hudson Global Ventures, LLC, a Nevada limited liability company. </w:t>
      </w:r>
    </w:p>
    <w:p>
      <w:pPr>
        <w:pStyle w:val="TextBody"/>
        <w:bidi w:val="0"/>
        <w:jc w:val="both"/>
        <w:rPr>
          <w:rFonts w:ascii="Times New Roman" w:hAnsi="Times New Roman"/>
          <w:i/>
          <w:color w:val="000000"/>
          <w:sz w:val="20"/>
        </w:rPr>
      </w:pPr>
      <w:r>
        <w:rPr>
          <w:rFonts w:ascii="Times New Roman" w:hAnsi="Times New Roman"/>
          <w:i/>
          <w:color w:val="000000"/>
          <w:sz w:val="20"/>
        </w:rPr>
        <w:t>CP BF Pre-Funded Warrant Exercise</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7, 2025, the Company issued 4 shares of Class A Common Stock for exercise of four (4) pre-funded warrants under the CP BF Pre-Funded Warrant, to CP BF.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Yorkville Advanced Notice Settlements</w:t>
      </w:r>
    </w:p>
    <w:p>
      <w:pPr>
        <w:pStyle w:val="TextBody"/>
        <w:bidi w:val="0"/>
        <w:jc w:val="both"/>
        <w:rPr>
          <w:rFonts w:ascii="Times New Roman" w:hAnsi="Times New Roman"/>
          <w:color w:val="000000"/>
          <w:sz w:val="20"/>
        </w:rPr>
      </w:pPr>
      <w:r>
        <w:rPr>
          <w:rFonts w:ascii="Times New Roman" w:hAnsi="Times New Roman"/>
          <w:color w:val="000000"/>
          <w:sz w:val="20"/>
        </w:rPr>
        <w:t>On January 3, 2025, the Company settled its outstanding obligation to sell shares of Class A Common Stock related to the fourth Advance Notice issued to Yorkville on December 30, 2024 pursuant to the SEPA. After adjustments to the number of shares originally requested pursuant to the terms of the SEPA, the Company settled the Advance Notice by selling a total of 3,049 shares of Class A Common Stock to Yorkville for a total purchase price of approximately $48,000.</w:t>
      </w:r>
    </w:p>
    <w:p>
      <w:pPr>
        <w:pStyle w:val="TextBody"/>
        <w:bidi w:val="0"/>
        <w:jc w:val="both"/>
        <w:rPr>
          <w:rFonts w:ascii="Times New Roman" w:hAnsi="Times New Roman"/>
          <w:color w:val="000000"/>
          <w:sz w:val="20"/>
        </w:rPr>
      </w:pPr>
      <w:r>
        <w:rPr>
          <w:rFonts w:ascii="Times New Roman" w:hAnsi="Times New Roman"/>
          <w:color w:val="000000"/>
          <w:sz w:val="20"/>
        </w:rPr>
        <w:t>Between January 10, 2025 and August 7, 2025, the Company settled the fifth through fifty fourth Advance Notices received subsequent to December 31, 2024, by selling an aggregate of 2,144,680 shares of Class A Common Stock to Yorkville for an aggregate total purchase price of approximately $16,597,000.</w:t>
      </w:r>
    </w:p>
    <w:p>
      <w:pPr>
        <w:pStyle w:val="TextBody"/>
        <w:bidi w:val="0"/>
        <w:jc w:val="both"/>
        <w:rPr>
          <w:rFonts w:ascii="Times New Roman" w:hAnsi="Times New Roman"/>
          <w:i/>
          <w:color w:val="000000"/>
          <w:sz w:val="20"/>
        </w:rPr>
      </w:pPr>
      <w:r>
        <w:rPr>
          <w:rFonts w:ascii="Times New Roman" w:hAnsi="Times New Roman"/>
          <w:i/>
          <w:color w:val="000000"/>
          <w:sz w:val="20"/>
        </w:rPr>
        <w:t>RSU Issuance to Executives</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21, 2025, the Company issued 337,773 RSUs to executives as part of the Company's fiscal 2024 bonus plan, following Board approvals. </w:t>
      </w:r>
    </w:p>
    <w:p>
      <w:pPr>
        <w:pStyle w:val="TextBody"/>
        <w:bidi w:val="0"/>
        <w:jc w:val="both"/>
        <w:rPr>
          <w:rFonts w:ascii="Times New Roman" w:hAnsi="Times New Roman"/>
          <w:i/>
          <w:color w:val="000000"/>
          <w:sz w:val="20"/>
        </w:rPr>
      </w:pPr>
      <w:r>
        <w:rPr>
          <w:rFonts w:ascii="Times New Roman" w:hAnsi="Times New Roman"/>
          <w:i/>
          <w:color w:val="000000"/>
          <w:sz w:val="20"/>
        </w:rPr>
        <w:t>Convertible promissory note issuance to YA II PN, LTD.</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30, 2025, the Company entered into a convertible promissory note (the "Note") with Yorkville, in principal amount of $3,500,000 as an advance under the outstanding SEPA entered into on December 14, 2023. The maturity date of the note is July 31, 2025, and may be extended at the option of the Company. The note was issued with a ten percent (10%) original issue discount and bears interest at an annual rate of (i) zero percent (0%) for the first ninety (90) days following issuance, (ii) six percent (6%) thereafter, and (iii) upon the occurrence of an event of default, the interest rate shall increase to an annual rate of eighteen percent (18%) so long as the event or events of default remain uncured. Interest will be calculated on a 365-day year and the actual number of days elapsed.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shall repay the note in installments, beginning on February 28, 2025, and continuing on March 31, 2025, and on April 30, 2025 (each, an "Installment Date") in an amount equal to the sum of (i) $1,500,000 of principal in respect to the first two Installment Dates, and $500,000 in respect of the third Installment Date (or the outstanding principal if less than such amount), plus (ii) a payment premium (in an amount equal to 4% of the principal amount being paid), and (iii) accrued and unpaid interest as of each installment date. </w:t>
      </w:r>
    </w:p>
    <w:p>
      <w:pPr>
        <w:pStyle w:val="TextBody"/>
        <w:bidi w:val="0"/>
        <w:jc w:val="both"/>
        <w:rPr>
          <w:rFonts w:ascii="Times New Roman" w:hAnsi="Times New Roman"/>
          <w:color w:val="000000"/>
          <w:sz w:val="20"/>
        </w:rPr>
      </w:pPr>
      <w:r>
        <w:rPr>
          <w:rFonts w:ascii="Times New Roman" w:hAnsi="Times New Roman"/>
          <w:color w:val="000000"/>
          <w:sz w:val="20"/>
        </w:rPr>
        <w:t>The Note is convertible into shares of the Company's Class A Common Stock, par value $0.0001 per share (the "Class A Common Stock") at a conversion price of $2.00 per share (the "Conversion Price"). The lender may elect to convert part or all of the outstanding balance of the Note at any time or from time to time after the issuance date. The Company may redeem the outstanding amount at any time, in whole or in part, subject to a 4% premium, provided that (i) the Company provides the lender with at least ten (10) trading days' prior written notice (each, a "Redemption Notice") of its desire to redeem the outstanding amount (an "Optional Redemption"), and (ii) on the date the Redemption Notice is issued, the VWAP of the Class A Common Stock is less than the Conversion Price. As of June 30, 2025 the Note was repaid in full.</w:t>
      </w:r>
    </w:p>
    <w:p>
      <w:pPr>
        <w:pStyle w:val="TextBody"/>
        <w:bidi w:val="0"/>
        <w:jc w:val="both"/>
        <w:rPr>
          <w:rFonts w:ascii="Times New Roman" w:hAnsi="Times New Roman"/>
          <w:i/>
          <w:color w:val="000000"/>
          <w:sz w:val="20"/>
        </w:rPr>
      </w:pPr>
      <w:r>
        <w:rPr>
          <w:rFonts w:ascii="Times New Roman" w:hAnsi="Times New Roman"/>
          <w:i/>
          <w:color w:val="000000"/>
          <w:sz w:val="20"/>
        </w:rPr>
        <w:t>Shares of Class A Common Stock issued to Winterberry</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4, 2025 the Company issued 3,000 shares to Verista Partners, Inc., aka Winterberry Group, one of its Creditors, in exchange for the cancellation of a portion of the total outstanding debt, in the amount of $16,666, pursuant to the Debt Reorganization.</w:t>
      </w:r>
    </w:p>
    <w:p>
      <w:pPr>
        <w:pStyle w:val="TextBody"/>
        <w:bidi w:val="0"/>
        <w:jc w:val="both"/>
        <w:rPr>
          <w:rFonts w:ascii="Times New Roman" w:hAnsi="Times New Roman"/>
          <w:sz w:val="20"/>
        </w:rPr>
      </w:pPr>
      <w:r>
        <w:rPr>
          <w:rFonts w:ascii="Times New Roman" w:hAnsi="Times New Roman"/>
          <w:i/>
          <w:color w:val="000000"/>
          <w:sz w:val="20"/>
        </w:rPr>
        <w:t>Bridge Note Issuances to Agile Lending, LLC</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On March 31, 2025, the Company issued a subordinated secured promissory note (the “March Agile Note”) for an aggregate principal amount of $4,000,000 and received $2,044,105 of proceeds, net of administrative agent fees of $200,000 paid to the collateral agent, and net of payments to Agile Lending, LLC of $1,755,895 in respect to early prepayment of the remaining outstanding balance of the December Agile Note, with a maturity date on the March Agile Note of November 12, 2025. The March Agile Note bears interest at a rate of 44%, and interest will be calculated on a three hundred and sixty (360) day year based on the actual number of days lapsed, and interest shall accrue on the March Agile Note commencing on and including the effective date pursuant to the March Agile Note Agreement’s weekly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12, 2025, the Company issued a subordinated secured promissory note (the “June Agile Note”) for an aggregate principal amount of $262,500 and received $250,000 of proceeds, net of administrative agent fees $12,500 to the collateral agent, with a maturity date of December 15, 2025 under the June Note. The June Note bears interest at a rate of 48%, and interest will be calculated on a three hundred and sixty (360) day year based on the actual number of days lapsed, and interest shall accrue on the June Note commencing on and including the effective date pursuant to the June Note Agreement's weekly repayment and amortization schedule.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Bridge Note Issuances to 1800 Diagonal Lending, LLC</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7, 2025, the Company issued a fourth promissory note (the “February 1800 Diagonal Note”) for an aggregate principal amount of $124,200 and received $100,000 of proceeds, net of an original discount of $16,200 and issuance costs of $8,000 for due diligence and legal fees, with a maturity date of December 15, 2025. The stated interest rate on the February Note is 12% per annum, and interest shall accrue on the February Note commencing on and including the issuance date pursuant to the February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17, 2025, the Company issued a fifth promissory note (the “April 1800 Diagonal Note”) for an aggregate principal amount of $230,000 and received $192,000 of proceeds, net of an original discount of $30,000 and issuance costs of $8,000 for due diligence and legal fees, with a maturity date of February 15, 2026. The stated interest rate on the April Note is 12% per annum, and interest shall accrue on the April Note commencing on and including the issuance date pursuant to the April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9, 2025, the Company issued a sixth promissory note (the “May 1800 Diagonal Note”) for an aggregate principal amount of $163,300 and received $135,000 of proceeds, net of an original discount of $21,300 and issuance costs of $7,000 for due diligence and legal fees, with a maturity date of February 15, 2026. The stated interest rate on the May Note is 12% per annum, and interest shall accrue on the May Note commencing on and including the issuance date pursuant to the May Note Agreement's repayment and amortization schedule.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Private Placement Offering (3i, LP)</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Notes shall be convertible into shares of the Company's Class A Common Stock, par value $0.0001 (the shares of Common Stock issuable pursuant to the terms of the Notes, including, without limitation, upon conversion or otherwise, collectively, the “Conversion Shares”), in accordance with the terms of the Notes. The Buyer purchased (i) a Note in the aggregate original principal amount of $11,000,000 and (ii) a warrant to initially acquire up to 67,124 shares of Common Stock (the “Buyer Warrants”) (as exercised, collectively, the “Warrant Shares”). 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The Private Placement Offering closed on June 30, 2025 (the “Closing Date”).</w:t>
      </w:r>
    </w:p>
    <w:p>
      <w:pPr>
        <w:pStyle w:val="TextBody"/>
        <w:bidi w:val="0"/>
        <w:jc w:val="both"/>
        <w:rPr>
          <w:rFonts w:ascii="Times New Roman" w:hAnsi="Times New Roman"/>
          <w:color w:val="212529"/>
          <w:sz w:val="20"/>
        </w:rPr>
      </w:pPr>
      <w:r>
        <w:rPr>
          <w:rFonts w:ascii="Times New Roman" w:hAnsi="Times New Roman"/>
          <w:color w:val="212529"/>
          <w:sz w:val="20"/>
        </w:rPr>
        <w:t>The Notes were issued with an original issue discount of 10.0% and accrue interest at a rate of 10.0% per annum. The Notes mature twelve (12) months from the date of issuance, June 30, 2026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Note is subject to a floor price of $0.11.</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On June 30, 2025, the Company drew $2,200,000 of principal under the allowable aggregate of $11,000,000 pursuant to the Purchase Agreement and received proceeds of $1,725,000, net of original issue discount and issuance fees and costs.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2024 Financings</w:t>
      </w:r>
    </w:p>
    <w:p>
      <w:pPr>
        <w:pStyle w:val="TextBody"/>
        <w:bidi w:val="0"/>
        <w:jc w:val="both"/>
        <w:rPr>
          <w:rFonts w:ascii="Times New Roman" w:hAnsi="Times New Roman"/>
          <w:color w:val="212529"/>
          <w:sz w:val="20"/>
        </w:rPr>
      </w:pPr>
      <w:r>
        <w:rPr>
          <w:rFonts w:ascii="Times New Roman" w:hAnsi="Times New Roman"/>
          <w:color w:val="212529"/>
          <w:sz w:val="20"/>
        </w:rPr>
        <w:t>On May 22, 2024, we priced a “best efforts” public offering for the sale by the Company of an aggregate of 10,456 shares of our Class A common stock, pre-funded warrants exercisable into 17,322 shares of Class A Common Stock (the “May Pre-Funded Warrants”), and common warrants exercisable into 27,778 shares of Class A Common Stock (the “Common Warrants”). The public offering price was $9.00 per aggregate share. The May Pre-Funded Warrants are exercisable immediately, may be exercised at any time until all of the May Pre-Funded Warrants are exercised in full, and have an exercise price of $0.0050. The Common Warrants are exercisable immediately for a term of five years and have an exercise price of $9.00.</w:t>
      </w:r>
    </w:p>
    <w:p>
      <w:pPr>
        <w:pStyle w:val="TextBody"/>
        <w:bidi w:val="0"/>
        <w:jc w:val="both"/>
        <w:rPr>
          <w:rFonts w:ascii="Times New Roman" w:hAnsi="Times New Roman"/>
          <w:color w:val="212529"/>
          <w:sz w:val="20"/>
        </w:rPr>
      </w:pPr>
      <w:r>
        <w:rPr>
          <w:rFonts w:ascii="Times New Roman" w:hAnsi="Times New Roman"/>
          <w:color w:val="212529"/>
          <w:sz w:val="20"/>
        </w:rPr>
        <w:t>A.G.P./Alliance Global Partners (“AGP”) acted as placement agent for the offering, pursuant to a placement agency agreement, dated May 22, 2024, between the Company and AGP (the “Placement Agency Agreement”). Under the Placement Agency Agreement, AGP received a cash fee of $174,939 and warrants (the “Placement Agent Warrants”) to purchase 1,667 shares of our Class A Common Stock at an exercise price per share equal to $10.00. The offering closed on May 28, 2024.</w:t>
      </w:r>
    </w:p>
    <w:p>
      <w:pPr>
        <w:pStyle w:val="TextBody"/>
        <w:bidi w:val="0"/>
        <w:jc w:val="left"/>
        <w:rPr>
          <w:rFonts w:ascii="Times New Roman" w:hAnsi="Times New Roman"/>
          <w:b/>
          <w:i/>
          <w:color w:val="000000"/>
          <w:sz w:val="20"/>
        </w:rPr>
      </w:pPr>
      <w:r>
        <w:rPr>
          <w:rFonts w:ascii="Times New Roman" w:hAnsi="Times New Roman"/>
          <w:b/>
          <w:i/>
          <w:color w:val="000000"/>
          <w:sz w:val="20"/>
        </w:rPr>
        <w:t>2024 Wainwright Private Financing</w:t>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On September 24, 2024, the Company entered into a securities purchase agreement (the “Purchase Agreement”) with an institutional investor for the issuance and sale in a private placement (the “Private Placement”) of (i) pre-funded warrants (“HCW Pre-Funded Warrants”) to purchase up to 117,647 shares of the Company’s Class A common stock, par value $0.0001 per share (the “Common Stock”), at an exercise price of $0.001 per share, (ii) Series A warrants (the “Series A Warrants”) to purchase up to 117,647 shares of Common Stock, at an exercise price of $4.00 per share, and (iii) Series B warrants (the “Series B Warrants” and together with the Series A Warrants and the Placement Agent Warrants (defined below), the “Warrants” ) to purchase up to 117,647 shares of Common Stock at an exercise price of $4.00 per share. The Series A Warrants are exercisable immediately upon issuance and have a term of exercise equal to five years from the date of issuance. The Series B Warrants are exercisable immediately upon issuance and have a term of exercise equal to eighteen (18) months from the date of issuance. The combined purchase price per HCW Pre-Funded Warrant and accompanying Warrants was $4.249. The Private Placement closed on September 26, 2024.</w:t>
      </w:r>
    </w:p>
    <w:p>
      <w:pPr>
        <w:pStyle w:val="TextBody"/>
        <w:bidi w:val="0"/>
        <w:jc w:val="both"/>
        <w:rPr>
          <w:rFonts w:ascii="Times New Roman" w:hAnsi="Times New Roman"/>
          <w:color w:val="212529"/>
          <w:sz w:val="20"/>
        </w:rPr>
      </w:pPr>
      <w:r>
        <w:rPr>
          <w:rFonts w:ascii="Times New Roman" w:hAnsi="Times New Roman"/>
          <w:color w:val="212529"/>
          <w:sz w:val="20"/>
        </w:rPr>
        <w:t>A holder of the HCW Pre-Funded Warrants and the Warrants may not exercise any portion of such holder’s HCW Pre-Funded Warrants or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certain fundamental transactions, holders of the Warrants will have the right to receive the Black Scholes Value of their Warrants calculated pursuant to a formula set forth in the Warrants, payable either in cash or in the same type or form of consideration that is being offered and being paid to the holders of Common Stock.</w:t>
      </w:r>
    </w:p>
    <w:p>
      <w:pPr>
        <w:pStyle w:val="TextBody"/>
        <w:bidi w:val="0"/>
        <w:jc w:val="both"/>
        <w:rPr>
          <w:rFonts w:ascii="Times New Roman" w:hAnsi="Times New Roman"/>
          <w:color w:val="212529"/>
          <w:sz w:val="20"/>
        </w:rPr>
      </w:pPr>
      <w:r>
        <w:rPr>
          <w:rFonts w:ascii="Times New Roman" w:hAnsi="Times New Roman"/>
          <w:color w:val="212529"/>
          <w:sz w:val="20"/>
        </w:rPr>
        <w:t>In connection with the Private Placement, the Company entered into a registration rights agreement (the “Registration Rights Agreement”), dated as of September 24, 2024, with the investor, pursuant to which the Company agreed to prepare and file a registration statement on Form S-1 to register the resale of the shares of Common Stock underlying the HCW Pre-Funded Warrants and the Warrants, and to use its best efforts to have the registration statement declared effective as promptly as practical thereafter, and in any event no later than forty-five (45) days following the date of the Registration Rights Agreement (or seventy-five (75) days following the date of the Registration Rights Agreement in the event of a “full review” by the SEC). The Company filed an initial registration statement on Form S-1 (File No. 333-282506) with the SEC on October 4, 2024 and it was declared effective on November 6, 2024.</w:t>
      </w:r>
    </w:p>
    <w:p>
      <w:pPr>
        <w:pStyle w:val="TextBody"/>
        <w:bidi w:val="0"/>
        <w:jc w:val="both"/>
        <w:rPr>
          <w:rFonts w:ascii="Times New Roman" w:hAnsi="Times New Roman"/>
          <w:color w:val="212529"/>
          <w:sz w:val="20"/>
        </w:rPr>
      </w:pPr>
      <w:r>
        <w:rPr>
          <w:rFonts w:ascii="Times New Roman" w:hAnsi="Times New Roman"/>
          <w:color w:val="212529"/>
          <w:sz w:val="20"/>
        </w:rPr>
        <w:t xml:space="preserve">The net proceeds to the Company from the Private Placement were approximately $4.4 million, after deducting placement agent fees and estimated offering expenses payable by the Company. The Company intends to use the net proceeds received from the Private Placement to support general corporate purposes and working capital. </w:t>
      </w:r>
    </w:p>
    <w:p>
      <w:pPr>
        <w:pStyle w:val="TextBody"/>
        <w:bidi w:val="0"/>
        <w:jc w:val="both"/>
        <w:rPr>
          <w:rFonts w:ascii="Times New Roman" w:hAnsi="Times New Roman"/>
          <w:color w:val="212529"/>
          <w:sz w:val="20"/>
        </w:rPr>
      </w:pPr>
      <w:r>
        <w:rPr>
          <w:rFonts w:ascii="Times New Roman" w:hAnsi="Times New Roman"/>
          <w:color w:val="212529"/>
          <w:sz w:val="20"/>
        </w:rPr>
        <w:t xml:space="preserve">H.C. Wainwright &amp; Co., LLC (“Wainwright”) acted as the Company’s exclusive placement agent in connection with the Private Placement, pursuant to that certain engagement letter, dated as of September 12, 2024, as amended, between the Company and Wainwright (the “Engagement Letter”). Pursuant to the Engagement Letter, the Company paid Wainwright (i) a total cash fee equal to 7.5% of the aggregate gross proceeds of the Private Placement (inclusive of the gross proceeds to be received from the exercise of any Warrants), (ii) a management fee of 1.0% of the aggregate gross proceeds of the Private Placement (inclusive of the gross proceeds to be received from the exercise of any Warrants), and (iii) a non-accountable expense allowance of $50,000. In addition, the Company issued to Wainwright or its designees warrants (the “Placement Agent Warrants”) to purchase up to an aggregate of 8,824 shares of Common Stock at an exercise price equal to $5.3125 per share and, if any Warrants are exercised for cash will be obligated to issue to Wainwright additional Placement Agent Warrants equal to 7.5% of the total Warrants exercised, if any. The Placement Agent Warrants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have substantially the same terms as the Warrants, are exercisable immediately upon issuance and have a term of exercise equal to five (5) years from the date of issuance.</w:t>
      </w:r>
    </w:p>
    <w:p>
      <w:pPr>
        <w:pStyle w:val="TextBody"/>
        <w:bidi w:val="0"/>
        <w:jc w:val="both"/>
        <w:rPr>
          <w:rFonts w:ascii="Times New Roman" w:hAnsi="Times New Roman"/>
          <w:color w:val="212529"/>
          <w:sz w:val="20"/>
        </w:rPr>
      </w:pPr>
      <w:r>
        <w:rPr>
          <w:rFonts w:ascii="Times New Roman" w:hAnsi="Times New Roman"/>
          <w:color w:val="212529"/>
          <w:sz w:val="20"/>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The Company has also agreed not to effect any Variable Rate Transaction (as defined in the Purchase Agreement) until one (1) year after the effective date of the Registration Statement (subject to certain exceptions). Since the OR Merger requires the Company to issue shares to the OpenReel Stockholders and file a registration statement prior to the expiration of the aforesaid period, the Wainwright Investor agreed o waive the Protective Provisions (the "Waiver"). In consideration for the Waiver, the Company agreed to reduce the exercise price of the Warrants issued to the Wainwright Investor from $4.00 to $2.50 per share.</w:t>
      </w:r>
    </w:p>
    <w:p>
      <w:pPr>
        <w:pStyle w:val="TextBody"/>
        <w:bidi w:val="0"/>
        <w:jc w:val="both"/>
        <w:rPr>
          <w:rFonts w:ascii="Times New Roman" w:hAnsi="Times New Roman"/>
          <w:color w:val="212529"/>
          <w:sz w:val="20"/>
        </w:rPr>
      </w:pPr>
      <w:r>
        <w:rPr>
          <w:rFonts w:ascii="Times New Roman" w:hAnsi="Times New Roman"/>
          <w:color w:val="212529"/>
          <w:sz w:val="20"/>
        </w:rPr>
        <w:t>The Engagement Letter and the Purchase Agreement contain customary representations and warranties and agreements and obligations, conditions to closing and termination provisions. The foregoing descriptions of terms and conditions of the Purchase Agreement, the HCW Pre-Funded Warrants, the Series A Warrants, the Series B Warrants, the Placement Agent Warrants, and the Registration Rights Agreement do not purport to be complete and are qualified in their entirety by the full text of the form of the Purchase Agreement, the form of the HCW Pre-Funded Warrant, the form of the Series A Warrant, the form of the Series B Warrant, the form of the Placement Agent Warrant, and the form of the Registration Rights Agreement, which are attached hereto as Exhibits.</w:t>
      </w:r>
    </w:p>
    <w:p>
      <w:pPr>
        <w:pStyle w:val="TextBody"/>
        <w:bidi w:val="0"/>
        <w:jc w:val="both"/>
        <w:rPr>
          <w:rFonts w:ascii="Times New Roman" w:hAnsi="Times New Roman"/>
          <w:sz w:val="20"/>
        </w:rPr>
      </w:pPr>
      <w:r>
        <w:rPr>
          <w:rFonts w:ascii="Times New Roman" w:hAnsi="Times New Roman"/>
          <w:color w:val="212529"/>
          <w:sz w:val="20"/>
        </w:rPr>
        <w:t xml:space="preserve">Between January 1, 2024 and December 31, 2024, 11,453 shares of Class A Common Stock had been issued upon conversion of outstanding promissory notes issued to </w:t>
      </w:r>
      <w:r>
        <w:rPr>
          <w:rFonts w:ascii="Times New Roman" w:hAnsi="Times New Roman"/>
          <w:color w:val="000000"/>
          <w:sz w:val="20"/>
        </w:rPr>
        <w:t xml:space="preserve">YA II PN, LTD, a Cayman Islands exempt limited partnership managed by Yorkville Advisors Global, LP </w:t>
      </w:r>
      <w:r>
        <w:rPr>
          <w:rFonts w:ascii="Times New Roman" w:hAnsi="Times New Roman"/>
          <w:color w:val="212529"/>
          <w:sz w:val="20"/>
        </w:rPr>
        <w:t>and a cash payment of $750,000 was made in May 2024. The aggregate principal amount was fully satisfied such that there is no remaining balance under the Yorkville Promissory Notes as of December 31, 2024.</w:t>
      </w:r>
    </w:p>
    <w:p>
      <w:pPr>
        <w:pStyle w:val="TextBody"/>
        <w:bidi w:val="0"/>
        <w:jc w:val="both"/>
        <w:rPr>
          <w:rFonts w:ascii="Times New Roman" w:hAnsi="Times New Roman"/>
          <w:b/>
          <w:i/>
          <w:color w:val="212529"/>
          <w:sz w:val="20"/>
        </w:rPr>
      </w:pPr>
      <w:r>
        <w:rPr>
          <w:rFonts w:ascii="Times New Roman" w:hAnsi="Times New Roman"/>
          <w:b/>
          <w:i/>
          <w:color w:val="212529"/>
          <w:sz w:val="20"/>
        </w:rPr>
        <w:t>Debt Equitization Plan</w:t>
      </w:r>
    </w:p>
    <w:p>
      <w:pPr>
        <w:pStyle w:val="TextBody"/>
        <w:bidi w:val="0"/>
        <w:jc w:val="both"/>
        <w:rPr>
          <w:rFonts w:ascii="Times New Roman" w:hAnsi="Times New Roman"/>
          <w:color w:val="000000"/>
          <w:sz w:val="20"/>
        </w:rPr>
      </w:pPr>
      <w:r>
        <w:rPr>
          <w:rFonts w:ascii="Times New Roman" w:hAnsi="Times New Roman"/>
          <w:color w:val="000000"/>
          <w:sz w:val="20"/>
        </w:rPr>
        <w:t>From August 23, 2024 to December 31, 2024 the Company entered into various agreements to reorganize outstanding debt from certain creditors (collectively, the “Creditors”) into shares of the Company’s Class A Common Stock (the “Shares”) (collectively, the “Debt Reorganization”). The Shares issued as part of the Debt Reorganization are a mix of Shares that the Company agreed to register in a registration statement on Form S-1 and Shares that are exempt from registration. As of May 12, 2025 the Company has issued an aggregate of 1,597,944 Shares to the Creditors in exchange for the cancellation of an aggregate of $5,068,547 of debt.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Operating Metrics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management of our businesses, we identify, measure, and evaluate a variety of operating metrics, as described below. These key performance measures and operating metrics are not prepared in accordance with GAAP and may not be comparable to or calculated in the same way as other similarly titled measures and metrics used by other companies. Measurements are specific to the group being measured, i.e. total customers, new customers, or other cohorts.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percentage of Banzai’s revenue for the three and six months ended June 30, 2025 and 2024 as compared to our other SaaS products.</w:t>
      </w:r>
    </w:p>
    <w:p>
      <w:pPr>
        <w:pStyle w:val="TextBody"/>
        <w:bidi w:val="0"/>
        <w:jc w:val="left"/>
        <w:rPr/>
      </w:pPr>
      <w:r>
        <w:rPr/>
        <w:t> </w:t>
      </w:r>
    </w:p>
    <w:tbl>
      <w:tblPr>
        <w:tblW w:w="9694" w:type="dxa"/>
        <w:jc w:val="left"/>
        <w:tblInd w:w="0" w:type="dxa"/>
        <w:tblLayout w:type="fixed"/>
        <w:tblCellMar>
          <w:top w:w="28" w:type="dxa"/>
          <w:left w:w="28" w:type="dxa"/>
          <w:bottom w:w="28" w:type="dxa"/>
          <w:right w:w="28" w:type="dxa"/>
        </w:tblCellMar>
      </w:tblPr>
      <w:tblGrid>
        <w:gridCol w:w="1021"/>
        <w:gridCol w:w="146"/>
        <w:gridCol w:w="373"/>
        <w:gridCol w:w="1472"/>
        <w:gridCol w:w="271"/>
        <w:gridCol w:w="146"/>
        <w:gridCol w:w="373"/>
        <w:gridCol w:w="1472"/>
        <w:gridCol w:w="271"/>
        <w:gridCol w:w="146"/>
        <w:gridCol w:w="331"/>
        <w:gridCol w:w="1304"/>
        <w:gridCol w:w="271"/>
        <w:gridCol w:w="146"/>
        <w:gridCol w:w="331"/>
        <w:gridCol w:w="1304"/>
        <w:gridCol w:w="31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OpenReel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Revenue Retention (“NRR”)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NRR is a metric Banzai uses to measure the revenue retention of its existing customer base. NRR calculates the change in revenue from existing customers by cohort over a period of time, after taking into account revenue lost due to customer churn and downgrades, and revenue gained due to upgrades and reactivations.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formula for calculating NRR is: NRR = (Revenue at the beginning of a period - Revenue lost from churn, and downgrades + Revenue gained from expansion and reactivation) / Revenue at the beginning of the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average monthly NRR for the three and six months ended June 30,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2"/>
        <w:gridCol w:w="146"/>
        <w:gridCol w:w="413"/>
        <w:gridCol w:w="1328"/>
        <w:gridCol w:w="271"/>
        <w:gridCol w:w="146"/>
        <w:gridCol w:w="413"/>
        <w:gridCol w:w="1328"/>
        <w:gridCol w:w="271"/>
        <w:gridCol w:w="146"/>
        <w:gridCol w:w="368"/>
        <w:gridCol w:w="1183"/>
        <w:gridCol w:w="271"/>
        <w:gridCol w:w="146"/>
        <w:gridCol w:w="368"/>
        <w:gridCol w:w="1183"/>
        <w:gridCol w:w="322"/>
      </w:tblGrid>
      <w:tr>
        <w:trPr/>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Monthly NRR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Average Customer Value (“ACV”)</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ACV is a metric Banzai uses to calculate the total revenue that it can expect to generate from a customer in a year. ACV is commonly used in the SaaS industry to measure the value of a customer to a subscription-based company over a 12-month period. Banzai uses ACV to segment its customers and to determine whether the value of new customers is growing or shrinking relative to the existing customer base. Banzai uses this information to make strategic decisions about pricing, marketing, and customer retention.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formula for calculating ACV is: ACV = Total Annual Recurring Revenue (ARR) / Total Number Customers, where ARR is defined as annual run-rate revenue of subscription agreements from all customers measured at a point in time.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new customer ACV and total average ACV for the three and six months ended June 30, 2025 and 2024.</w:t>
      </w:r>
    </w:p>
    <w:p>
      <w:pPr>
        <w:pStyle w:val="TextBody"/>
        <w:bidi w:val="0"/>
        <w:jc w:val="left"/>
        <w:rPr/>
      </w:pPr>
      <w:r>
        <w:rPr/>
        <w:t> </w:t>
      </w:r>
    </w:p>
    <w:tbl>
      <w:tblPr>
        <w:tblW w:w="9929" w:type="dxa"/>
        <w:jc w:val="left"/>
        <w:tblInd w:w="0" w:type="dxa"/>
        <w:tblLayout w:type="fixed"/>
        <w:tblCellMar>
          <w:top w:w="28" w:type="dxa"/>
          <w:left w:w="28" w:type="dxa"/>
          <w:bottom w:w="28" w:type="dxa"/>
          <w:right w:w="28" w:type="dxa"/>
        </w:tblCellMar>
      </w:tblPr>
      <w:tblGrid>
        <w:gridCol w:w="1756"/>
        <w:gridCol w:w="146"/>
        <w:gridCol w:w="498"/>
        <w:gridCol w:w="1347"/>
        <w:gridCol w:w="146"/>
        <w:gridCol w:w="146"/>
        <w:gridCol w:w="498"/>
        <w:gridCol w:w="1347"/>
        <w:gridCol w:w="146"/>
        <w:gridCol w:w="146"/>
        <w:gridCol w:w="389"/>
        <w:gridCol w:w="1246"/>
        <w:gridCol w:w="146"/>
        <w:gridCol w:w="146"/>
        <w:gridCol w:w="441"/>
        <w:gridCol w:w="1194"/>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Customer ACV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Average ACV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Customer Acquisition Cost (“CAC”)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CAC is a financial metric Banzai uses to evaluate the average cost of acquiring a new customer. It includes marketing, sales, and other related expenses incurred while attracting and converting prospects into paying customers. CAC is a critical metric for Banzai to understand the efficiency and effectiveness of its marketing and sales efforts, as well as to ensure sustainable growth.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formula for calculating CAC is: CAC = Total Sales &amp; Marketing Cost / Number of Customers Acquired.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CAC for the three and six months ended June 30,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8"/>
        <w:gridCol w:w="146"/>
        <w:gridCol w:w="454"/>
        <w:gridCol w:w="1228"/>
        <w:gridCol w:w="146"/>
        <w:gridCol w:w="146"/>
        <w:gridCol w:w="454"/>
        <w:gridCol w:w="1228"/>
        <w:gridCol w:w="146"/>
        <w:gridCol w:w="146"/>
        <w:gridCol w:w="405"/>
        <w:gridCol w:w="1098"/>
        <w:gridCol w:w="146"/>
        <w:gridCol w:w="146"/>
        <w:gridCol w:w="405"/>
        <w:gridCol w:w="1098"/>
        <w:gridCol w:w="195"/>
      </w:tblGrid>
      <w:tr>
        <w:trPr/>
        <w:tc>
          <w:tcPr>
            <w:tcW w:w="2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Acquisition Cost (CAC)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Customer Churn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Customer Churn % is the rate of customers who deactivate in a given period relative to the number of active customers at the beginning of such period or end of the prior period. Understanding drivers of churn allows Banzai to take measures to reduce the number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of customers who deactivate and increase the overall rate of customer retention. There are two types of Churn % measured: Revenue churn and Customer (or logo) churn.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formula for calculating Churn % is: Churn % = [# or $ value of] Deactivations / [# or $ value of] Active Customers (Beginning of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revenue Churn and new customer (or logo) Churn for the three and six months ended June 30,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07"/>
        <w:gridCol w:w="146"/>
        <w:gridCol w:w="428"/>
        <w:gridCol w:w="1064"/>
        <w:gridCol w:w="271"/>
        <w:gridCol w:w="146"/>
        <w:gridCol w:w="428"/>
        <w:gridCol w:w="1064"/>
        <w:gridCol w:w="271"/>
        <w:gridCol w:w="146"/>
        <w:gridCol w:w="387"/>
        <w:gridCol w:w="962"/>
        <w:gridCol w:w="271"/>
        <w:gridCol w:w="146"/>
        <w:gridCol w:w="387"/>
        <w:gridCol w:w="962"/>
        <w:gridCol w:w="319"/>
      </w:tblGrid>
      <w:tr>
        <w:trPr/>
        <w:tc>
          <w:tcPr>
            <w:tcW w:w="2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8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Monthly Churn -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Monthly Churn - Customer (Logo)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Churn - Customer (Logo) represents the number of customers, whereas the non-Logo Churn is based on sales dollars.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Customer Lifetime Value (“LTV”)</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LTV is a financial metric Banzai uses to estimate the total revenue it can expect to generate from a customer throughout their entire relationship. LTV helps Banzai understand the long-term value of each customer, enabling it to make informed decisions about marketing, sales, customer support, and product development strategies. It also helps Banzai allocate resources more efficiently by identifying high-value customer segments to focus on growth and retention.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formula for calculating LTV is comprised of two metrics: Monthly Recurring Revenue (MRR) and Customer Life represented in # of months. Calculations for these metrics on a per-customer basis, as follows: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MRR = ACV / 12</w:t>
      </w:r>
    </w:p>
    <w:p>
      <w:pPr>
        <w:pStyle w:val="TextBody"/>
        <w:bidi w:val="0"/>
        <w:jc w:val="both"/>
        <w:rPr>
          <w:rFonts w:ascii="Times New Roman" w:hAnsi="Times New Roman"/>
          <w:color w:val="000000"/>
          <w:sz w:val="20"/>
        </w:rPr>
      </w:pPr>
      <w:r>
        <w:rPr>
          <w:rFonts w:ascii="Times New Roman" w:hAnsi="Times New Roman"/>
          <w:color w:val="000000"/>
          <w:sz w:val="20"/>
        </w:rPr>
        <w:t>Customer Life (# of months) = 1 / Churn %</w:t>
      </w:r>
    </w:p>
    <w:p>
      <w:pPr>
        <w:pStyle w:val="TextBody"/>
        <w:bidi w:val="0"/>
        <w:jc w:val="both"/>
        <w:rPr>
          <w:rFonts w:ascii="Times New Roman" w:hAnsi="Times New Roman"/>
          <w:color w:val="000000"/>
          <w:sz w:val="20"/>
        </w:rPr>
      </w:pPr>
      <w:r>
        <w:rPr>
          <w:rFonts w:ascii="Times New Roman" w:hAnsi="Times New Roman"/>
          <w:color w:val="000000"/>
          <w:sz w:val="20"/>
        </w:rPr>
        <w:t>LTV = MRR * Customer Life (# of months)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MRR is calculated by aggregating, for all customers from customer base or the group being measured during that month, monthly revenue from committed contractual amounts. For customers on annual contracts, this represents their ACV divided by 12.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MRR, Customer Life, and LTV for the three and six months ended June 30,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8"/>
        <w:gridCol w:w="146"/>
        <w:gridCol w:w="438"/>
        <w:gridCol w:w="1404"/>
        <w:gridCol w:w="146"/>
        <w:gridCol w:w="146"/>
        <w:gridCol w:w="497"/>
        <w:gridCol w:w="1345"/>
        <w:gridCol w:w="146"/>
        <w:gridCol w:w="146"/>
        <w:gridCol w:w="388"/>
        <w:gridCol w:w="1244"/>
        <w:gridCol w:w="146"/>
        <w:gridCol w:w="146"/>
        <w:gridCol w:w="440"/>
        <w:gridCol w:w="1192"/>
        <w:gridCol w:w="197"/>
      </w:tblGrid>
      <w:tr>
        <w:trPr/>
        <w:tc>
          <w:tcPr>
            <w:tcW w:w="2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MRR (New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Life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LTV (New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LTV / CAC Ratio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LTV / CAC ratio is a culminating metric measuring the efficiency of Sales and Marketing activities in terms of the dollar value of new business generated versus the amount invested in order to generate that new business. This provides a measurement of ROI for Sales and Marketing activities. A segmented view of LTV / CAC ratio gives additional insight into the profitability of various business development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formula for calculating LTV / CAC ratio is: LTV / CAC for the segment or activity being measured.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LTV / CAC ratio for the three and six months ended June 30, 2025 and 2024.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719" w:type="dxa"/>
        <w:jc w:val="left"/>
        <w:tblInd w:w="0" w:type="dxa"/>
        <w:tblLayout w:type="fixed"/>
        <w:tblCellMar>
          <w:top w:w="28" w:type="dxa"/>
          <w:left w:w="28" w:type="dxa"/>
          <w:bottom w:w="28" w:type="dxa"/>
          <w:right w:w="28" w:type="dxa"/>
        </w:tblCellMar>
      </w:tblPr>
      <w:tblGrid>
        <w:gridCol w:w="1546"/>
        <w:gridCol w:w="146"/>
        <w:gridCol w:w="529"/>
        <w:gridCol w:w="1316"/>
        <w:gridCol w:w="146"/>
        <w:gridCol w:w="146"/>
        <w:gridCol w:w="529"/>
        <w:gridCol w:w="1316"/>
        <w:gridCol w:w="146"/>
        <w:gridCol w:w="146"/>
        <w:gridCol w:w="388"/>
        <w:gridCol w:w="1247"/>
        <w:gridCol w:w="146"/>
        <w:gridCol w:w="146"/>
        <w:gridCol w:w="469"/>
        <w:gridCol w:w="1166"/>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LTV / CAC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Analysis of the Impact of Key Business Drivers on Financial Performance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strives to maximize revenue growth within a reasonable cost structure through optimizing and continuous monitoring of the key business metrics described above relative to SaaS industry benchmarks, Banzai’s direct competition, and historical company performance. This is accomplished through a combination of increased revenue per customer (higher ACVs and NRR) on an increasing customer base, generated through efficient customer acquisition (LTV / CAC ratio) and improved customer retention (lower churn, higher customer life). Other business activities contribute to improved performance and metrics, including but not limited to the following:</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Customer Success and Onboarding, leading to maximum customer satisfaction and retention.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Development and Support, maximizing customer value, supporting usage and expansion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Company Initiatives, designed to improve trial experience and conversion rates, on-demand adoption, and emphasis on data to position our products as a system of automation and a system of record for our customers, supporting growth and retention.</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Identification of Operational Risk Factors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are a number of key internal and external operational risks to the successful execution of Banzai’s strategy.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Internal risks include, among others: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Management and leadership issues: ineffective leadership, poor decision-making, or lack of direction.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Operational inefficiencies: inadequate processes and poor resource allocation may lead to decreased productivity or insufficient ROI.</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mismanagement: inadequate financial planning, improper accounting practices, or excessive debt can lead to financial instability.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Employee-related challenges: high turnover, lack of skilled staff, or internal conflicts can impact morale and productivity.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Technological obsolescence: failing to develop (or adapt) to new technologies in anticipation or response to changes in market trends can lead to competitive disadvantages.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External risks include, among others: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Economic factors: including economic downturns, inflation, or currency fluctuations impacting business spending and overall market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from established industry players to new entrants, eroding market share and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and regulatory: changes in laws or regulations that impact operations or increase compliance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Technological disruptions: from advancements in technology leading to obsolescence of existing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Unforeseen events: including natural disasters, geo-political instability, and pandemics, potentially impacting market demand, operational or supply chain disruption.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Analysis of the Impact of Operational Risks on Financial Performance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risk factors described above could have significant impacts on Banzai’s financial performance. These or other factors, including those risk factors summarized in the section titled “Risk Factors” could impact Banzai’s ability to generate and grow revenue, contain costs, or inhibit profitability, cash flow, and overall financial performance: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Revenue and Sales: Internal risks from operating inefficiency or external factors, including economic downturns or increased competition, could lead to lower sales, impaired unit economics, and reduced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and Expenses: Internal operating mismanagement or external factors, including supplier issues, may cause increased cost relative to revenue generation, resulting in insufficient return on investment or profit margins.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By continuing to conduct comprehensive risk monitoring and analysis on financial performance, Banzai can optimize its ability to make informed decisions and improve its ability to navigate internal and external challenges. Such activities include: identification and categorization of risks, quantification and analysis of potential severity, and development of risk mitigation strategies. It is also important for Banzai to ensure financial reports and disclosures accurately reflect the potential impact of risks on financial performance, essential for transparent communication with investors and stakeholders.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The Business Combination and Public Company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Business Combination was accounted for as a reverse recapitalization. Under this method of accounting, 7GC was treated as the acquired company for financial statement reporting purposes. Accordingly, for accounting purposes, the financial statements of Banzai represent a continuation of the financial statements of Legacy Banzai with the Business Combination treated as the equivalent of Legacy Banzai issuing stock for the net assets of 7GC, accompanied by a recapitalization. The net assets of 7GC were stated at historical cost, with no goodwill or other intangible assets recorded. Operations prior to the Business Combination are those of Legacy Banzai in this and future reports of Banzai.</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the Business Combination,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and officers’ liability insurance, director fees and additional internal and external accounting, legal and administrative resources, including increased audit and legal fees. We are qualified as an “emerging growth company.” As a result, we have been provided certain disclosure and regulatory relief. Our future results of operations and financial position may not be comparable to Legacy Banzai’s historical results of operations and financial position as a result of the Business Combination.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 for the three months ended June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77"/>
        <w:gridCol w:w="146"/>
        <w:gridCol w:w="266"/>
        <w:gridCol w:w="929"/>
        <w:gridCol w:w="166"/>
        <w:gridCol w:w="146"/>
        <w:gridCol w:w="282"/>
        <w:gridCol w:w="846"/>
        <w:gridCol w:w="166"/>
        <w:gridCol w:w="146"/>
        <w:gridCol w:w="275"/>
        <w:gridCol w:w="827"/>
        <w:gridCol w:w="166"/>
        <w:gridCol w:w="146"/>
        <w:gridCol w:w="206"/>
        <w:gridCol w:w="895"/>
        <w:gridCol w:w="920"/>
      </w:tblGrid>
      <w:tr>
        <w:trPr/>
        <w:tc>
          <w:tcPr>
            <w:tcW w:w="3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GEM settlement fee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w:t>
            </w:r>
          </w:p>
        </w:tc>
        <w:tc>
          <w:tcPr>
            <w:tcW w:w="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bifurcated embedded derivative liabilities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convertible bridge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Yorkville prepayment premium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percentage changes included in the tables herein that are not considered meaningful are presented as “nm".</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Components of results of operations for the six months ended June 30, 2025 and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Analysis</w:t>
      </w:r>
    </w:p>
    <w:p>
      <w:pPr>
        <w:pStyle w:val="TextBody"/>
        <w:bidi w:val="0"/>
        <w:jc w:val="both"/>
        <w:rPr/>
      </w:pPr>
      <w:r>
        <w:rPr/>
        <w:t> </w:t>
      </w:r>
    </w:p>
    <w:tbl>
      <w:tblPr>
        <w:tblW w:w="8374" w:type="dxa"/>
        <w:jc w:val="left"/>
        <w:tblInd w:w="0" w:type="dxa"/>
        <w:tblLayout w:type="fixed"/>
        <w:tblCellMar>
          <w:top w:w="28" w:type="dxa"/>
          <w:left w:w="28" w:type="dxa"/>
          <w:bottom w:w="28" w:type="dxa"/>
          <w:right w:w="28" w:type="dxa"/>
        </w:tblCellMar>
      </w:tblPr>
      <w:tblGrid>
        <w:gridCol w:w="1486"/>
        <w:gridCol w:w="146"/>
        <w:gridCol w:w="441"/>
        <w:gridCol w:w="1194"/>
        <w:gridCol w:w="146"/>
        <w:gridCol w:w="146"/>
        <w:gridCol w:w="441"/>
        <w:gridCol w:w="1194"/>
        <w:gridCol w:w="146"/>
        <w:gridCol w:w="146"/>
        <w:gridCol w:w="307"/>
        <w:gridCol w:w="833"/>
        <w:gridCol w:w="146"/>
        <w:gridCol w:w="146"/>
        <w:gridCol w:w="232"/>
        <w:gridCol w:w="908"/>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2025, Banzai reported total revenue of approximately $6,641 thousand, representing an increase of approximately $4,493 thousand, or approximately 209.2%, compared to the period ended June 30, 2024. This increase is primarily attributable to the revenue generated by the acquistions of OpenReel and Vidello where OpenReel revenues of approximately $2,828 thousand and Vidello revenues of approximately $1,507 thousand for the six months ended June 30, 2025 and an increase in Reach revenue by approximately $66 thousand.</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 of Revenue Analysis</w:t>
      </w:r>
    </w:p>
    <w:p>
      <w:pPr>
        <w:pStyle w:val="TextBody"/>
        <w:bidi w:val="0"/>
        <w:jc w:val="both"/>
        <w:rPr/>
      </w:pPr>
      <w:r>
        <w:rPr/>
        <w:t> </w:t>
      </w:r>
    </w:p>
    <w:tbl>
      <w:tblPr>
        <w:tblW w:w="8374" w:type="dxa"/>
        <w:jc w:val="left"/>
        <w:tblInd w:w="0" w:type="dxa"/>
        <w:tblLayout w:type="fixed"/>
        <w:tblCellMar>
          <w:top w:w="28" w:type="dxa"/>
          <w:left w:w="28" w:type="dxa"/>
          <w:bottom w:w="28" w:type="dxa"/>
          <w:right w:w="28" w:type="dxa"/>
        </w:tblCellMar>
      </w:tblPr>
      <w:tblGrid>
        <w:gridCol w:w="1486"/>
        <w:gridCol w:w="146"/>
        <w:gridCol w:w="441"/>
        <w:gridCol w:w="1194"/>
        <w:gridCol w:w="146"/>
        <w:gridCol w:w="146"/>
        <w:gridCol w:w="544"/>
        <w:gridCol w:w="1091"/>
        <w:gridCol w:w="146"/>
        <w:gridCol w:w="146"/>
        <w:gridCol w:w="379"/>
        <w:gridCol w:w="761"/>
        <w:gridCol w:w="146"/>
        <w:gridCol w:w="146"/>
        <w:gridCol w:w="271"/>
        <w:gridCol w:w="869"/>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2025 and 2024, Banzai’s cost of revenue totaled approximately $1,161 thousand and approximately $711 thousand, respectively. This represents an increase of approximately $450 thousand, or approximately 63.3%, for the six months ended June 30, 2025 as compared to the six months ended June 30, 2024. This increase is due primarily attributable to the additional costs of OpenReel and Vidello products which were approximately $153 thousand and $263 thousand, respectively.</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Gross Profit Analysis</w:t>
      </w:r>
    </w:p>
    <w:p>
      <w:pPr>
        <w:pStyle w:val="TextBody"/>
        <w:bidi w:val="0"/>
        <w:jc w:val="both"/>
        <w:rPr/>
      </w:pPr>
      <w:r>
        <w:rPr/>
        <w:t> </w:t>
      </w:r>
    </w:p>
    <w:tbl>
      <w:tblPr>
        <w:tblW w:w="8374" w:type="dxa"/>
        <w:jc w:val="left"/>
        <w:tblInd w:w="0" w:type="dxa"/>
        <w:tblLayout w:type="fixed"/>
        <w:tblCellMar>
          <w:top w:w="28" w:type="dxa"/>
          <w:left w:w="28" w:type="dxa"/>
          <w:bottom w:w="28" w:type="dxa"/>
          <w:right w:w="28" w:type="dxa"/>
        </w:tblCellMar>
      </w:tblPr>
      <w:tblGrid>
        <w:gridCol w:w="1486"/>
        <w:gridCol w:w="146"/>
        <w:gridCol w:w="441"/>
        <w:gridCol w:w="1194"/>
        <w:gridCol w:w="146"/>
        <w:gridCol w:w="146"/>
        <w:gridCol w:w="441"/>
        <w:gridCol w:w="1194"/>
        <w:gridCol w:w="146"/>
        <w:gridCol w:w="146"/>
        <w:gridCol w:w="307"/>
        <w:gridCol w:w="833"/>
        <w:gridCol w:w="146"/>
        <w:gridCol w:w="146"/>
        <w:gridCol w:w="232"/>
        <w:gridCol w:w="908"/>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2025 and 2024, Banzai’s gross profit was approximately $5,480 thousand and approximately $1,437 thousand, respectively. This represents an increase of approximately $4,043 thousand, or approximately 281.4% due to the increase in revenue of approximately $4,493 thousand and increase in cost of revenue of approximately $450 thousand described above.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 xml:space="preserve">Operating Expense Analysis </w:t>
      </w:r>
    </w:p>
    <w:p>
      <w:pPr>
        <w:pStyle w:val="TextBody"/>
        <w:bidi w:val="0"/>
        <w:jc w:val="both"/>
        <w:rPr/>
      </w:pPr>
      <w:r>
        <w:rPr/>
        <w:t> </w:t>
      </w:r>
    </w:p>
    <w:tbl>
      <w:tblPr>
        <w:tblW w:w="9049" w:type="dxa"/>
        <w:jc w:val="left"/>
        <w:tblInd w:w="0" w:type="dxa"/>
        <w:tblLayout w:type="fixed"/>
        <w:tblCellMar>
          <w:top w:w="28" w:type="dxa"/>
          <w:left w:w="28" w:type="dxa"/>
          <w:bottom w:w="28" w:type="dxa"/>
          <w:right w:w="28" w:type="dxa"/>
        </w:tblCellMar>
      </w:tblPr>
      <w:tblGrid>
        <w:gridCol w:w="2161"/>
        <w:gridCol w:w="146"/>
        <w:gridCol w:w="389"/>
        <w:gridCol w:w="1246"/>
        <w:gridCol w:w="146"/>
        <w:gridCol w:w="146"/>
        <w:gridCol w:w="441"/>
        <w:gridCol w:w="1194"/>
        <w:gridCol w:w="146"/>
        <w:gridCol w:w="146"/>
        <w:gridCol w:w="307"/>
        <w:gridCol w:w="833"/>
        <w:gridCol w:w="146"/>
        <w:gridCol w:w="146"/>
        <w:gridCol w:w="271"/>
        <w:gridCol w:w="869"/>
        <w:gridCol w:w="3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operating expenses for the six months ended June 30, 2025 and 2024, were approximately $15.1 million and approximately $8.2 million, respectively, an increase of approximately $6.9 million, or 83.8%. This increase was due primarily to the additions of OpenReel and Vidello expenses which were approximately $1.6 million and $0.6 million, respectively. Additionally the increase was due to an overall increase in salaries and related expenses by approximately $0.7 million, marketing expenses by approximately $0.7 million, and costs associated with audit, technical accounting, and legal and other professional services of approximately $1.2 million.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Expense Analysis</w:t>
      </w:r>
    </w:p>
    <w:p>
      <w:pPr>
        <w:pStyle w:val="TextBody"/>
        <w:bidi w:val="0"/>
        <w:jc w:val="both"/>
        <w:rPr/>
      </w:pPr>
      <w:r>
        <w:rPr/>
        <w:t> </w:t>
      </w:r>
    </w:p>
    <w:tbl>
      <w:tblPr>
        <w:tblW w:w="9454" w:type="dxa"/>
        <w:jc w:val="left"/>
        <w:tblInd w:w="0" w:type="dxa"/>
        <w:tblLayout w:type="fixed"/>
        <w:tblCellMar>
          <w:top w:w="28" w:type="dxa"/>
          <w:left w:w="28" w:type="dxa"/>
          <w:bottom w:w="28" w:type="dxa"/>
          <w:right w:w="28" w:type="dxa"/>
        </w:tblCellMar>
      </w:tblPr>
      <w:tblGrid>
        <w:gridCol w:w="2566"/>
        <w:gridCol w:w="146"/>
        <w:gridCol w:w="441"/>
        <w:gridCol w:w="1194"/>
        <w:gridCol w:w="146"/>
        <w:gridCol w:w="146"/>
        <w:gridCol w:w="441"/>
        <w:gridCol w:w="1194"/>
        <w:gridCol w:w="146"/>
        <w:gridCol w:w="146"/>
        <w:gridCol w:w="379"/>
        <w:gridCol w:w="761"/>
        <w:gridCol w:w="146"/>
        <w:gridCol w:w="146"/>
        <w:gridCol w:w="271"/>
        <w:gridCol w:w="869"/>
        <w:gridCol w:w="31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2025, Banzai reported total other income of approximately $2.0 million. The change in other expenses (income), net was primarily driven by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GEM settlement commitment fee expense of approximately $0.2 million during the six months ended June 30,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on extinguishment of liabilities of approximately $4.5 million recognized during the six months ended June 30, 2025 compared to $0.5 million recognized during the six months ended June 30,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issuance of debt of approximately $1.3 million during the six months ended June 30, 2025 compared to $0.2 million during the six months ended June 30,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extinguishment of term notes of approximately $1.8 million during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in fair value of warrant liability recorded as a gain (third party &amp; related party) of approximately $0.9 million during the six months ended June 30,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(third party and related party) decreased by approximately $0.9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in fair value of convertible promissory notes recorded as a loss of approximately $0.2 million during the six months ended June 30, 2025 compared to a loss of approximately $0.5 million during the six months ended June 30,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 in fair value of term notes recorded as a loss of approximately $0.3 million during the six months ended June 30,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Yorkville prepayment premium expense and loss on SEPA advances to Yorkville of approximately $0.7 million during the six months ended June 30,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both"/>
        <w:rPr/>
      </w:pPr>
      <w:r>
        <w:rPr/>
        <w:t> </w:t>
      </w:r>
    </w:p>
    <w:tbl>
      <w:tblPr>
        <w:tblW w:w="8655" w:type="dxa"/>
        <w:jc w:val="left"/>
        <w:tblInd w:w="0" w:type="dxa"/>
        <w:tblLayout w:type="fixed"/>
        <w:tblCellMar>
          <w:top w:w="28" w:type="dxa"/>
          <w:left w:w="28" w:type="dxa"/>
          <w:bottom w:w="28" w:type="dxa"/>
          <w:right w:w="28" w:type="dxa"/>
        </w:tblCellMar>
      </w:tblPr>
      <w:tblGrid>
        <w:gridCol w:w="1726"/>
        <w:gridCol w:w="146"/>
        <w:gridCol w:w="497"/>
        <w:gridCol w:w="1138"/>
        <w:gridCol w:w="166"/>
        <w:gridCol w:w="146"/>
        <w:gridCol w:w="818"/>
        <w:gridCol w:w="818"/>
        <w:gridCol w:w="146"/>
        <w:gridCol w:w="146"/>
        <w:gridCol w:w="347"/>
        <w:gridCol w:w="793"/>
        <w:gridCol w:w="166"/>
        <w:gridCol w:w="146"/>
        <w:gridCol w:w="187"/>
        <w:gridCol w:w="953"/>
        <w:gridCol w:w="31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2025, Banzai’s reported provision for income tax benefit was $157 thousand. Banzai reported a provision for income tax expense for the six months ended June 30, 2024 of $6 thousand.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Banzai's history of losses since inception, there is not enough evidence at this time to support that Banzai will generate future income of a sufficient amount and nature to utilize the benefits of its net deferred tax assets. Accordingly, the deferred tax assets have been reduced by a full valuation allowance, since Banzai cannot currently support that realization of its deferred tax assets is more likely than not.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2025, Banzai had no unrecognized tax benefits that would reduce Banzai's effective tax rate if recognized.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Loss Analysis</w:t>
      </w:r>
    </w:p>
    <w:p>
      <w:pPr>
        <w:pStyle w:val="TextBody"/>
        <w:bidi w:val="0"/>
        <w:jc w:val="both"/>
        <w:rPr/>
      </w:pPr>
      <w:r>
        <w:rPr/>
        <w:t> </w:t>
      </w:r>
    </w:p>
    <w:tbl>
      <w:tblPr>
        <w:tblW w:w="8434" w:type="dxa"/>
        <w:jc w:val="left"/>
        <w:tblInd w:w="0" w:type="dxa"/>
        <w:tblLayout w:type="fixed"/>
        <w:tblCellMar>
          <w:top w:w="28" w:type="dxa"/>
          <w:left w:w="28" w:type="dxa"/>
          <w:bottom w:w="28" w:type="dxa"/>
          <w:right w:w="28" w:type="dxa"/>
        </w:tblCellMar>
      </w:tblPr>
      <w:tblGrid>
        <w:gridCol w:w="1486"/>
        <w:gridCol w:w="146"/>
        <w:gridCol w:w="364"/>
        <w:gridCol w:w="1271"/>
        <w:gridCol w:w="166"/>
        <w:gridCol w:w="146"/>
        <w:gridCol w:w="409"/>
        <w:gridCol w:w="1226"/>
        <w:gridCol w:w="166"/>
        <w:gridCol w:w="146"/>
        <w:gridCol w:w="284"/>
        <w:gridCol w:w="856"/>
        <w:gridCol w:w="166"/>
        <w:gridCol w:w="146"/>
        <w:gridCol w:w="271"/>
        <w:gridCol w:w="869"/>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2025 and 2024, Banzai reported net losses of approximately $11.4 million and approximately $8.2 million, respectively. The increase in net loss is primarily due to an increase in total other expenses (income), net of approximately $0.5 million during the six months ended June 30, 2025 compared to the six months ended June 30, 2024, in addition to an increase in operating expenses of approximately $6.9 million, and an increase in gross profit of $4.0 million.</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condensed consolidated financial statements prospectively from the date of the change in the estimate.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the following accounting policies are those most critical to the judgments and estimates used in the determination of opening balances in purchase accounting for business combinations, and in preparation of our financial statements.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Impairment of 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2024, the Company had two operating segments, which were deemed to be its reporting units, for the purpose of evaluating goodwill impairment, and the annual impairment test is performed as of December 31.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annual impairment testing date of December 31, 2024, the Company bypassed the qualitative assessment and proceeded directly to the quantitative impairment test based on the stock price of the Company on the measurement date and economic uncertainty. To perform the quantitative assessment, the Company engaged a third-party service provider to assist management with the determination of the fair value of the Company. The Company estimated fair value of equity using the market capitalization method of the market approach, consideration of initiatives unknown by the market and evaluation of any implied control premium. Management further supported the conclusions by assessing a combination of an income valuation methodology, comprising a discounted cash flow analysis and market valuation methodologies, comprising the guideline public company and guideline transaction methods.</w:t>
      </w:r>
    </w:p>
    <w:p>
      <w:pPr>
        <w:pStyle w:val="TextBody"/>
        <w:bidi w:val="0"/>
        <w:jc w:val="both"/>
        <w:rPr>
          <w:rFonts w:ascii="Times New Roman" w:hAnsi="Times New Roman"/>
          <w:color w:val="000000"/>
          <w:sz w:val="20"/>
        </w:rPr>
      </w:pPr>
      <w:r>
        <w:rPr>
          <w:rFonts w:ascii="Times New Roman" w:hAnsi="Times New Roman"/>
          <w:color w:val="000000"/>
          <w:sz w:val="20"/>
        </w:rPr>
        <w:br/>
        <w:t>The market capitalization method calculated the aggregate market value of the Company based on the total number of outstanding shares of common and preferred stock and the market prices of the shares as of the assessment date. The Company evaluated conditions that were unknown by the market as of the assessment date and how a market participant would evaluate an implied control premium for the Company. The implied control premium was supported using a discounted cash flow analysis that contemplated the present value of assumed market participant cost savings and synergies.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w:t>
      </w:r>
    </w:p>
    <w:p>
      <w:pPr>
        <w:pStyle w:val="TextBody"/>
        <w:bidi w:val="0"/>
        <w:jc w:val="left"/>
        <w:rPr>
          <w:rFonts w:ascii="Times New Roman" w:hAnsi="Times New Roman"/>
          <w:color w:val="000000"/>
          <w:sz w:val="20"/>
        </w:rPr>
      </w:pPr>
      <w:r>
        <w:rPr>
          <w:rFonts w:ascii="Times New Roman" w:hAnsi="Times New Roman"/>
          <w:color w:val="000000"/>
          <w:sz w:val="20"/>
        </w:rPr>
        <w:t>Company’s business projections.</w:t>
        <w:br/>
        <w:t> </w:t>
      </w:r>
    </w:p>
    <w:p>
      <w:pPr>
        <w:pStyle w:val="TextBody"/>
        <w:bidi w:val="0"/>
        <w:jc w:val="both"/>
        <w:rPr>
          <w:rFonts w:ascii="Times New Roman" w:hAnsi="Times New Roman"/>
          <w:color w:val="000000"/>
          <w:sz w:val="20"/>
        </w:rPr>
      </w:pPr>
      <w:r>
        <w:rPr>
          <w:rFonts w:ascii="Times New Roman" w:hAnsi="Times New Roman"/>
          <w:color w:val="000000"/>
          <w:sz w:val="20"/>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results of the quantitative assessment indicated that the carrying amount of the Company's OpenReel reporting unit exceeded its fair value, which resulted in an impairment loss of $2.7 million at December 31, 2024.</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b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will continue evaluating the economic conditions at future reporting periods for triggering events.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Business combinations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pStyle w:val="TextBody"/>
        <w:bidi w:val="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 GAAP financial information, when taken collectively with results under GAAP, may be helpful to investors in assessing our operating performance and comparing our performance with competitors and other comparable companies.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does not consider the potentially dilutive impact of 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impairment and restructuring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interest expense or other income.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income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audit, legal, incremental accounting and other expenses tied to M&amp;A or the Business Combination.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companies, including companies in our own industry, may calculate Adjusted EBITDA differently from the way we do, limiting its usefulness as a comparative measure.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EBITDA Analysis for the six months ended June 30, 2025 and 2024</w:t>
      </w:r>
    </w:p>
    <w:p>
      <w:pPr>
        <w:pStyle w:val="TextBody"/>
        <w:bidi w:val="0"/>
        <w:jc w:val="both"/>
        <w:rPr/>
      </w:pPr>
      <w:r>
        <w:rPr/>
        <w:t> </w:t>
      </w:r>
    </w:p>
    <w:tbl>
      <w:tblPr>
        <w:tblW w:w="9094" w:type="dxa"/>
        <w:jc w:val="left"/>
        <w:tblInd w:w="0" w:type="dxa"/>
        <w:tblLayout w:type="fixed"/>
        <w:tblCellMar>
          <w:top w:w="28" w:type="dxa"/>
          <w:left w:w="28" w:type="dxa"/>
          <w:bottom w:w="28" w:type="dxa"/>
          <w:right w:w="28" w:type="dxa"/>
        </w:tblCellMar>
      </w:tblPr>
      <w:tblGrid>
        <w:gridCol w:w="2146"/>
        <w:gridCol w:w="146"/>
        <w:gridCol w:w="409"/>
        <w:gridCol w:w="1226"/>
        <w:gridCol w:w="166"/>
        <w:gridCol w:w="146"/>
        <w:gridCol w:w="409"/>
        <w:gridCol w:w="1226"/>
        <w:gridCol w:w="166"/>
        <w:gridCol w:w="146"/>
        <w:gridCol w:w="347"/>
        <w:gridCol w:w="793"/>
        <w:gridCol w:w="166"/>
        <w:gridCol w:w="146"/>
        <w:gridCol w:w="328"/>
        <w:gridCol w:w="812"/>
        <w:gridCol w:w="31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2025, Banzai’s Adjusted EBITDA was approximately $3.7 million, reflecting a decrease in the earnings of approximately $0.2 million compared to a loss of approximately $3.5 million for the six months ended June 30, 2024. This period-over-period decrease is primarily attributable to increased gain on extinguishments of liabilities offset by loss on issuance of term notes and increased transaction related expenses.</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Income/(Loss) to Adjusted EBITDA Reconciliation for the six months ended June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42"/>
        <w:gridCol w:w="146"/>
        <w:gridCol w:w="288"/>
        <w:gridCol w:w="1008"/>
        <w:gridCol w:w="166"/>
        <w:gridCol w:w="146"/>
        <w:gridCol w:w="311"/>
        <w:gridCol w:w="933"/>
        <w:gridCol w:w="166"/>
        <w:gridCol w:w="146"/>
        <w:gridCol w:w="277"/>
        <w:gridCol w:w="833"/>
        <w:gridCol w:w="166"/>
        <w:gridCol w:w="146"/>
        <w:gridCol w:w="174"/>
        <w:gridCol w:w="936"/>
        <w:gridCol w:w="321"/>
      </w:tblGrid>
      <w:tr>
        <w:trPr/>
        <w:tc>
          <w:tcPr>
            <w:tcW w:w="4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18133.3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commitment fee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bifurcated embedded derivative liabilities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bridge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Transaction related expenses include</w:t>
      </w:r>
    </w:p>
    <w:p>
      <w:pPr>
        <w:pStyle w:val="TextBody"/>
        <w:bidi w:val="0"/>
        <w:jc w:val="left"/>
        <w:rPr/>
      </w:pPr>
      <w:r>
        <w:rPr/>
        <w:t> </w:t>
      </w:r>
    </w:p>
    <w:tbl>
      <w:tblPr>
        <w:tblW w:w="9369" w:type="dxa"/>
        <w:jc w:val="left"/>
        <w:tblInd w:w="0" w:type="dxa"/>
        <w:tblLayout w:type="fixed"/>
        <w:tblCellMar>
          <w:top w:w="28" w:type="dxa"/>
          <w:left w:w="28" w:type="dxa"/>
          <w:bottom w:w="28" w:type="dxa"/>
          <w:right w:w="28" w:type="dxa"/>
        </w:tblCellMar>
      </w:tblPr>
      <w:tblGrid>
        <w:gridCol w:w="2461"/>
        <w:gridCol w:w="146"/>
        <w:gridCol w:w="441"/>
        <w:gridCol w:w="1194"/>
        <w:gridCol w:w="146"/>
        <w:gridCol w:w="146"/>
        <w:gridCol w:w="441"/>
        <w:gridCol w:w="1194"/>
        <w:gridCol w:w="146"/>
        <w:gridCol w:w="146"/>
        <w:gridCol w:w="284"/>
        <w:gridCol w:w="856"/>
        <w:gridCol w:w="166"/>
        <w:gridCol w:w="146"/>
        <w:gridCol w:w="232"/>
        <w:gridCol w:w="908"/>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audit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legal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Incremental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study, M&amp;A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inception, Banzai has financed its operations primarily from the sales of redeemable convertible preferred stock and convertible promissory notes, and proceeds from senior secured loans. As of June 30, 2025, Banzai had cash of approximately $2.3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Banzai has incurred losses since its inception, had a working capital deficit of approximately $26.4 million as of June 30, 2025, and had an accumulated deficit at June 30, 2025 totaling approximately $89.7 million. As of June 30, 2025, Banzai had approximately $4.7 million and approximately $11.1 million aggregate principal amount outstanding on term/promissory notes and convertible notes, respectively. During the six months ended June 30, 2025, Banzai raised additional capital under the SEPA of approximately $9.5 million through the issuance of shares to fund the Company's operations.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Banzai’s intends to seek additional funding through the SEPA arrangement and other equity financings in 2025. If Banzai is unable to raise such funding, Banzai will have to pursue an alternative course of action to seek additional capital through other debt and equity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financing. On April 17, 2025 and May 9, 2025, we entered into convertible promissory notes with 1800 Diagonal, in principal amounts of $230,000 and $163,000, respectively. On June 12, 2025, we entered into a promissory note with Agile Lending, LLC in principal amount of $262,500. On June 30, 2025, we entered into a private placement convertible note with 3i, LP in principal amount of $2,200,000.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Banzai is unable to raise sufficient additional capital, through future debt or equity financings or through strategic and collaborative ventures with third parties, Banzai will not have sufficient cash flows and liquidity to fund its planned business for 12 months from the issuance of these financial statements, including the inability to close the Act On acquisition. There can be no assurances that Banzai will be able to secure alternate forms of financing at terms that are acceptable to management. In that event, Banzai might be forced to limit many of its business plans and consider other means of creating value for its stockholders. Based on the factors described above, and after considering management’s plans, there is substantial doubt about Banzai’s ability to continue as a going concern within one year from the date the financial statements were available to be issued. The accompanying condensed consolidated financial statements have been prepared assuming Banzai will continue as a going concern, which contemplates the realization of assets and satisfaction of liabilities in the normal course of business.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Cash flows for the six months ended June 30, 2025 and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Banzai’s cash flows for the six months ended June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40"/>
        <w:gridCol w:w="146"/>
        <w:gridCol w:w="298"/>
        <w:gridCol w:w="1042"/>
        <w:gridCol w:w="166"/>
        <w:gridCol w:w="146"/>
        <w:gridCol w:w="324"/>
        <w:gridCol w:w="971"/>
        <w:gridCol w:w="166"/>
        <w:gridCol w:w="146"/>
        <w:gridCol w:w="265"/>
        <w:gridCol w:w="849"/>
        <w:gridCol w:w="166"/>
        <w:gridCol w:w="146"/>
        <w:gridCol w:w="209"/>
        <w:gridCol w:w="905"/>
        <w:gridCol w:w="320"/>
      </w:tblGrid>
      <w:tr>
        <w:trPr/>
        <w:tc>
          <w:tcPr>
            <w:tcW w:w="3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six months ended June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operating activities was approximately $9.0 million for the six months ended June 30, 2025. Net cash used in operating activities consists of net loss of approximately $11.4 million, offset by total adjustments of approximately $2.4 million for non-cash items and the effect of changes in working capital. Non-cash adjustments primarily included stock compensation expense of approximately $1.1 million, gain on extinguishment of liability of approximately $4.5 million, loss on issuances of debt of approximately $1.3 million, loss on extinguishment of term notes of approximately $1.8 million, non-cash interest expense of approximately $1.2 million, fair value adjustment of convertible promissory notes of approximately $0.2 million, fair value adjustment of term notes of approximately $0.3 million, consulting expenses paid via share issuance of approximately $0.2 million, depreciation and amortization of intangible assets of approximately $0.5 million and net of change in operating assets and liabilities of approximately $0.3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investing activities was approximately $2.7 million for the six months ended June 30, 2025 and was related to the net cash paid in the acquisition of Vidello.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approximately $12.9 million for the six months ended June 30, 2025, and was primarily related to proceeds from convertible debt financing of approximately $5.3 million, net proceeds from the issuance of term notes of approximately $4.3 million, proceeds from issuance of shares under the SEPA agreement of approximately $13.6 million, repayment of term notes of approximately $5.9 million, partial repayment of convertible notes with a related party of approximately $0.9 million, repayment of Yorkville convertible notes of approximately $3.6 million, and payment of the GEM commitment fee promissory note of approximately $0.2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six months ended June 30,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cash used in operating activities was approximately $3.8 million for the six months ended June 30, 2024. Net cash used in operating activities consists of net loss of approximately $8.7 million, offset by total adjustments of approximately $4.9 million for non-cash items and the effect of changes in working capital. Non-cash adjustments included non-cash settlement of the GEM commitment fee of approximately $0.2 million, non-cash share issuance for marketing expenses of approximately $0.2 million, non-cash share issuance for Yorkville redemption premium of approximately $0.1 million, stock-based compensation expense of approximately $0.7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million, gain on extinguishment of liability of approximately $0.5 million, non-cash interest expense of approximately $0.8 million (approximately $0.18 million for related party), amortization of debt discount and issuance costs of approximately $0.9 million (approximately $0.8 million for related party), amortization of operating lease ROU assets of approximately $0.09 million, fair value adjustment for warrant liabilities gain of approximately $0.9 million (gain of approximately $0.3 million for related party), fair value adjustment of convertible promissory notes of approximately $0.6 million, and net of change in operating assets and liabilities of approximately $2.7 million.</w:t>
      </w:r>
    </w:p>
    <w:p>
      <w:pPr>
        <w:pStyle w:val="TextBody"/>
        <w:bidi w:val="0"/>
        <w:jc w:val="both"/>
        <w:rPr>
          <w:rFonts w:ascii="Times New Roman" w:hAnsi="Times New Roman"/>
          <w:color w:val="000000"/>
          <w:sz w:val="20"/>
        </w:rPr>
      </w:pPr>
      <w:r>
        <w:rPr>
          <w:rFonts w:ascii="Times New Roman" w:hAnsi="Times New Roman"/>
          <w:color w:val="000000"/>
          <w:sz w:val="20"/>
        </w:rPr>
        <w:t>There were no net cash investing activities for the six months ended June 30, 2024.</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was approximately $2.2 million for the six months ended June 30, 2024, and was primarily related to proceeds from convertible debt financing of approximately $2.3 million, net proceeds from issuance of common stock of approximately $1.9 million, repayment of Yorkville convertible notes of approximately $0.8 million, and payment of the GEM commitment fee of approximately $1.2 million.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Capital Expenditure Commitments and Financing Requirements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141"/>
        <w:gridCol w:w="146"/>
        <w:gridCol w:w="211"/>
        <w:gridCol w:w="676"/>
        <w:gridCol w:w="146"/>
        <w:gridCol w:w="146"/>
        <w:gridCol w:w="355"/>
        <w:gridCol w:w="964"/>
        <w:gridCol w:w="146"/>
        <w:gridCol w:w="146"/>
        <w:gridCol w:w="252"/>
        <w:gridCol w:w="682"/>
        <w:gridCol w:w="194"/>
      </w:tblGrid>
      <w:tr>
        <w:trPr/>
        <w:tc>
          <w:tcPr>
            <w:tcW w:w="6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1 - 3 Years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- 15.5%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Agile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- 1800 Diagonal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 commitments and financing requirements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Debt principal - 15.5% CB PF Convertible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ASC 470 Debt,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it was determined CP BF is a related party as they own approximately 16% of the outstanding Class 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conjunction with the side letter, the Company agreed to issue to CP BF, 7,000 shares of the Company's Class A Common Stock. On September 23, 2024 the transaction was finalized and the Company issued the 2024 CP BF Convertible Note with a principal amount of $10,758,775. Pursuant to the CP BF SPA, CP BF agreed to convert $2,000,000 in debt into 26,084 shares of Class A Common Stock, CP BF Warrants to purchase up to 56,555 shares of Class A Common Stock and CP BF Pre-Funded Warrants to purchase up to 30,470 shares of Class A Common Stock (all such securities and shares collectively referred to as the “CP BF Registrable Securities”).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$38.90. Upon the occurrence, and during the continuance, of an Event of Default (as defined in the agreement), interest on the 2024 CP BF Convertible Note will bear PIK interest at a per annum rate of 20% (“2024 Default Rate”).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w:t>
      </w:r>
    </w:p>
    <w:p>
      <w:pPr>
        <w:pStyle w:val="TextBody"/>
        <w:bidi w:val="0"/>
        <w:spacing w:before="200" w:after="283"/>
        <w:jc w:val="both"/>
        <w:rPr>
          <w:rFonts w:ascii="Times New Roman" w:hAnsi="Times New Roman"/>
          <w:sz w:val="20"/>
        </w:rPr>
      </w:pPr>
      <w:r>
        <w:rPr>
          <w:rFonts w:ascii="Times New Roman" w:hAnsi="Times New Roman"/>
          <w:b/>
          <w:i/>
          <w:color w:val="000000"/>
          <w:sz w:val="20"/>
        </w:rPr>
        <w:t>Debt principal - GEM Promissory Note</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pStyle w:val="TextBody"/>
        <w:bidi w:val="0"/>
        <w:jc w:val="both"/>
        <w:rPr>
          <w:rFonts w:ascii="Times New Roman" w:hAnsi="Times New Roman"/>
          <w:color w:val="000000"/>
          <w:sz w:val="20"/>
        </w:rPr>
      </w:pPr>
      <w:r>
        <w:rPr>
          <w:rFonts w:ascii="Times New Roman" w:hAnsi="Times New Roman"/>
          <w:color w:val="000000"/>
          <w:sz w:val="20"/>
        </w:rPr>
        <w:t xml:space="preserve">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4,000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15, 2024, the Company issued additional 15,000 shares to settle partial unpaid GEM promissory note balance. As of June 30, 2025, the Company has issued an aggregate of 19,000 shares of Class A Common Stock to GEM in lieu of monthly payment obligations and during the three and six months ending June 30, 2025 paid the remaining balance of the GEM Promissory Note of $215,057.</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Term Notes (Agile)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22, 2024, the Company entered into a subordinated business loan and security agreement (the "July Subordinated Business Loan and Security Agreement") with Agile Lending, LLC and Agile Capital Funding, LLC as the collateral agent. On July 22, 2024, the Company issued a subordinated secured promissory note (the “July Agile Note”) for an aggregate principal amount of $787,500 and received $750,000 of proceeds, net of administrative agent fees $37,500 to the collateral agent, with a maturity date of February 5, 2025 under the subordinated business loan and security agreement. The loan under the agreement bears interest at a rate of 42% and will be calculated on a three hundred and sixty (360) day year based on the actual number of days lapsed, and interest shall accrue on the loan commencing on and including the effective date pursuant to the Agreement's weekly repayment and amortization schedule.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13, 2024, the Company entered into a subordinated business loan and security agreement (the "September Subordinated Business Loan and Security Agreement") with Agile Lending, LLC and Agile Capital Funding, LLC as the collateral agent. On September 13, 2024, the Company issued a subordinated secured promissory note (the “September Agile Note”) for an aggregate principal amount of $262,500 and received $250,000 of proceeds, net of administrative agent fees $12,500 to the collateral agent, with a maturity date of March 3, 2025 under the September Note. The September Note bears interest at a rate of 48%, and interest will be calculated on a three hundred and sixty (360) day year based on the actual number of days lapsed, and interest shall accrue on the September Note commencing on and including the effective date pursuant to the September Note Agreement's weekly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12, 2024, the Company issued a subordinated secured promissory note (the “December Agile Note”) for an aggregate principal amount of $2,400,000 and received $1,782,438 of proceeds, net of administrative agent fees of $120,000 paid to the collateral agent, and net of payments to Agile Lending, LLC of $319,500 and $178,063 in respect to early prepayment of the remaining outstanding balances of the July Agile Note and September Agile Note, with a maturity date on the December Agile Note of July 10, 2025. The December Agile Note bears interest at a rate of 44%, and interest will be calculated on a three hundred and sixty (360) day year based on the actual number of days lapsed, and interest shall accrue on the December Agile Note commencing on and including the effective date pursuant to the December Agile Note Agreement’s weekly repayment and amortization schedule.</w:t>
      </w:r>
    </w:p>
    <w:p>
      <w:pPr>
        <w:pStyle w:val="TextBody"/>
        <w:bidi w:val="0"/>
        <w:jc w:val="both"/>
        <w:rPr>
          <w:rFonts w:ascii="Times New Roman" w:hAnsi="Times New Roman"/>
          <w:color w:val="000000"/>
          <w:sz w:val="20"/>
        </w:rPr>
      </w:pPr>
      <w:r>
        <w:rPr>
          <w:rFonts w:ascii="Times New Roman" w:hAnsi="Times New Roman"/>
          <w:color w:val="000000"/>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March 31, 2025, the Company issued a subordinated secured promissory note (the “March Agile Note”) for an aggregate principal amount of $4,000,000 and received $2,044,105 of proceeds, net of administrative agent fees of $200,000 paid to the collateral agent, and net of payments to Agile Lending, LLC of $1,755,895 in respect to early prepayment of the remaining outstanding balances of the December Agile Note, with a maturity date on the March Agile Note of November 12, 2025. The March Agile Note bears interest at a rate of 44%, and interest will be calculated on a three hundred and sixty (360) day year based on the actual number of days lapsed, and interest shall accrue on the March Agile Note commencing on and including the effective date pursuant to the March Agile Note Agreement’s weekly repayment and amortization schedule.</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$1,769,895.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12, 2025, the Company issued a subordinated secured promissory note (the “June Agile Note”) for an aggregate principal amount of $262,500 and received $250,000 of proceeds, net of administrative agent fees $12,500 to the collateral agent, with a maturity date of December 15, 2025 under the June Note. The June Note bears interest at a rate of 48%, and interest will be calculated on a three hundred and sixty (360) day year based on the actual number of days lapsed, and interest shall accrue on the June Note commencing on and including the effective date pursuant to the June Note Agreement's weekly repayment and amortization schedule.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July Agile Note, the September Agile Note, the December Agile Note, the March Agile Note, and the June Agile Note are together referred to as the “Agile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collateral under the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Agile Notes include contingent redemption (put) rights which trigger mandatory prepayment and a make-whole premium upon certain events including an event of default, and defaulted contingent interest upon an event of default.</w:t>
      </w:r>
    </w:p>
    <w:p>
      <w:pPr>
        <w:pStyle w:val="TextBody"/>
        <w:bidi w:val="0"/>
        <w:jc w:val="both"/>
        <w:rPr>
          <w:rFonts w:ascii="Times New Roman" w:hAnsi="Times New Roman"/>
          <w:sz w:val="20"/>
        </w:rPr>
      </w:pPr>
      <w:r>
        <w:rPr>
          <w:rFonts w:ascii="Times New Roman" w:hAnsi="Times New Roman"/>
          <w:color w:val="000000"/>
          <w:sz w:val="20"/>
        </w:rPr>
        <w:t xml:space="preserve">Due to the contingent redemption put feature and default interest embedded feature within the Agile Notes, the Company elected to account for the Agile Notes at fair value at their respective dates of issuance and in subsequent reporting periods, pursuant to ASC 825 </w:t>
      </w:r>
      <w:r>
        <w:rPr>
          <w:rFonts w:ascii="Times New Roman" w:hAnsi="Times New Roman"/>
          <w:i/>
          <w:color w:val="000000"/>
          <w:sz w:val="20"/>
        </w:rPr>
        <w:t>Financial Instruments</w:t>
      </w:r>
      <w:r>
        <w:rPr>
          <w:rFonts w:ascii="Times New Roman" w:hAnsi="Times New Roman"/>
          <w:color w:val="000000"/>
          <w:sz w:val="20"/>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 </w:t>
      </w:r>
    </w:p>
    <w:p>
      <w:pPr>
        <w:pStyle w:val="TextBody"/>
        <w:bidi w:val="0"/>
        <w:jc w:val="both"/>
        <w:rPr>
          <w:rFonts w:ascii="Times New Roman" w:hAnsi="Times New Roman"/>
          <w:color w:val="000000"/>
          <w:sz w:val="20"/>
        </w:rPr>
      </w:pPr>
      <w:r>
        <w:rPr>
          <w:rFonts w:ascii="Times New Roman" w:hAnsi="Times New Roman"/>
          <w:color w:val="000000"/>
          <w:sz w:val="20"/>
        </w:rPr>
        <w:t>Interest expense on the Agile Notes totaled $681,928 for the three and six months ending June 30, 2025 and is included in the fair value of the notes.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Convertible Notes (1800 Diagonal)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16, 2024, the Company entered into a securities purchase agreement and promissory note agreement (the "August Securities Purchase Agreement") with 1800 Diagonal Lending LLC (“Lender”). On August 16, 2024 the Company issued a promissory note (the “August 1800 Diagonal Note”) for an aggregate principal amount of $184,000 and received $160,000 of proceeds, net of an original issue discount of $24,000, with a maturity date of June 15, 2025. The August Securities Purchase Agreement stipulates that the Company and Lender may mutually agree to enter into additional tranches of promissory notes over the 12 month period commencing on August 16, 2024, up to an aggregate total of $750,000. The stated interest rate on the August Note is 12% per annum, and interest shall accrue on the August Note commencing on and including the issuance date pursuant to the August Agreement's monthly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24, 2024, the Company issued a second promissory note (the “September 1800 Diagonal Note”) for an aggregate principal amount of $124,200 and received $108,000 of proceeds, net of an original discount of $16,200, with a maturity date of July 30, 2025. The stated interest rate on the September Note is 12% per annum, and interest shall accrue on the September Note commencing on and including the issuance date pursuant to the September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December 10, 2024, the Company issued a third promissory note (the “December 1800 Diagonal Note”) for an aggregate principal amount of $124,200 and received $108,000 of proceeds, net of an original discount of $16,200, with a maturity date of October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15, 2025. The stated interest rate on the December Note is 12% per annum, and interest shall accrue on the December Note commencing on and including the issuance date pursuant to the December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7, 2025, the Company issued a fourth promissory note (the “February 1800 Diagonal Note”) for an aggregate principal amount of $124,200 and received $100,000 of proceeds, net of an original discount of $16,200 and issuance costs of $8,000 for due diligence and legal fees, with a maturity date of December 15, 2025. The stated interest rate on the February Note is 12% per annum, and interest shall accrue on the February Note commencing on and including the issuance date pursuant to the February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17, 2025, the Company issued a fifth promissory note (the “April 1800 Diagonal Note”) for an aggregate principal amount of $230,000 and received $192,000 of proceeds, net of an original discount of $30,000 and issuance costs of $8,000 for due diligence and legal fees, with a maturity date of February 15, 2026. The stated interest rate on the April Note is 12% per annum, and interest shall accrue on the April Note commencing on and including the issuance date pursuant to the April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9, 2025, the Company issued a sixth promissory note (the “May 1800 Diagonal Note”) for an aggregate principal amount of $163,300 and received $135,000 of proceeds, net of an original discount of $21,300 and issuance costs of $7,000 for due diligence and legal fees, with a maturity date of February 15, 2026. The stated interest rate on the May Note is 12% per annum, and interest shall accrue on the May Note commencing on and including the issuance date pursuant to the May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August 1800 Diagonal Note, the September 1800 Diagonal Note, the December 1800 Diagonal Note, the February 1800 Diagonal Note, the April 1800 Diagonal Note, and the May 1800 Diagonal Note are together referred to as the “1800 Diagonal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agreements, all or any portion of the 1800 Diagonal Notes that are then-outstanding,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1800 Diagonal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Due to these embedded features within the 1800 Diagonal Notes, the Company elected to account for the 1800 Diagonal Notes at fair value at their respective dates of issuance and in subsequent reporting periods, pursuant to ASC 825 </w:t>
      </w:r>
      <w:r>
        <w:rPr>
          <w:rFonts w:ascii="Times New Roman" w:hAnsi="Times New Roman"/>
          <w:i/>
          <w:color w:val="000000"/>
          <w:sz w:val="20"/>
        </w:rPr>
        <w:t>Financial Instruments</w:t>
      </w:r>
      <w:r>
        <w:rPr>
          <w:rFonts w:ascii="Times New Roman" w:hAnsi="Times New Roman"/>
          <w:color w:val="000000"/>
          <w:sz w:val="20"/>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1800 Diagonal Notes totaled approximately $60,241 and 97,176 for the three and six months ending June 30, 2025 and is included in the fair value of the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Private Placement Offering (3i, LP)</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Notes shall be convertible into shares of the Company's Class A Common Stock, par value $0.0001 (the shares of Common Stock issuable pursuant to the terms of the Notes, including, without limitation, upon conversion or otherwise, collectively, the “Conversion Shares”), in accordance with the terms of the Notes. The Buyer purchased (i) a Note in the aggregate original principal amount of $11,000,000 and (ii) a warrant to initially acquire up to 67,124 shares of Common Stock (the “Buyer Warrants”) (as exercised, collectively, the “Warrant Shares”). 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The Private Placement Offering closed on June 30, 2025 (the “Closing Date”). Refer to </w:t>
      </w:r>
      <w:r>
        <w:rPr>
          <w:rFonts w:ascii="Times New Roman" w:hAnsi="Times New Roman"/>
          <w:i/>
          <w:color w:val="212529"/>
          <w:sz w:val="20"/>
        </w:rPr>
        <w:t>Note 16 - Equity</w:t>
      </w:r>
      <w:r>
        <w:rPr>
          <w:rFonts w:ascii="Times New Roman" w:hAnsi="Times New Roman"/>
          <w:color w:val="212529"/>
          <w:sz w:val="20"/>
        </w:rPr>
        <w:t xml:space="preserve">, for further description of the Warrants issued in the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Private Placement Offering.</w:t>
      </w:r>
    </w:p>
    <w:p>
      <w:pPr>
        <w:pStyle w:val="TextBody"/>
        <w:bidi w:val="0"/>
        <w:jc w:val="both"/>
        <w:rPr>
          <w:rFonts w:ascii="Times New Roman" w:hAnsi="Times New Roman"/>
          <w:color w:val="212529"/>
          <w:sz w:val="20"/>
        </w:rPr>
      </w:pPr>
      <w:r>
        <w:rPr>
          <w:rFonts w:ascii="Times New Roman" w:hAnsi="Times New Roman"/>
          <w:color w:val="212529"/>
          <w:sz w:val="20"/>
        </w:rPr>
        <w:t>The Notes were issued with an original issue discount of 10.0% and accrue interest at a rate of 10.0% per annum. The Notes mature twelve (12) months from the date of issuance, June 30, 2026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Note is subject to a floor price of $0.11.</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On June 30, 2025, the Company drew $2,200,000 of principal under the allowable aggregate of $11,000,000 pursuant to the Purchase Agreement and received proceeds of $1,725,000, net of original issue discount and issuance fees and costs. </w:t>
      </w:r>
    </w:p>
    <w:p>
      <w:pPr>
        <w:pStyle w:val="TextBody"/>
        <w:bidi w:val="0"/>
        <w:jc w:val="both"/>
        <w:rPr>
          <w:rFonts w:ascii="Times New Roman" w:hAnsi="Times New Roman"/>
          <w:color w:val="212529"/>
          <w:sz w:val="20"/>
        </w:rPr>
      </w:pPr>
      <w:r>
        <w:rPr>
          <w:rFonts w:ascii="Times New Roman" w:hAnsi="Times New Roman"/>
          <w:color w:val="212529"/>
          <w:sz w:val="20"/>
        </w:rPr>
        <w:t>In addition, if an Event of Default (as defined in the Notes) has occurred under the Notes,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jc w:val="both"/>
        <w:rPr>
          <w:rFonts w:ascii="Times New Roman" w:hAnsi="Times New Roman"/>
          <w:color w:val="212529"/>
          <w:sz w:val="20"/>
        </w:rPr>
      </w:pPr>
      <w:r>
        <w:rPr>
          <w:rFonts w:ascii="Times New Roman" w:hAnsi="Times New Roman"/>
          <w:color w:val="212529"/>
          <w:sz w:val="20"/>
        </w:rPr>
        <w:t>The initial net proceeds to the Company from the Offering were approximately $1.725 million, after the original issuance discount and deducting financial advisory fees and estimated offering expenses payable by the Company. The Company intends to use the net proceeds received from the Offering for general corporate purposes and working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Due to these embedded features within the Private Placement Convertible Notes, the Company elected to account for the Private Placement Convertible Notes at fair value at their respective dates of issuance and in subsequent reporting periods, pursuant to ASC 825 </w:t>
      </w:r>
      <w:r>
        <w:rPr>
          <w:rFonts w:ascii="Times New Roman" w:hAnsi="Times New Roman"/>
          <w:i/>
          <w:color w:val="000000"/>
          <w:sz w:val="20"/>
        </w:rPr>
        <w:t>Financial Instruments</w:t>
      </w:r>
      <w:r>
        <w:rPr>
          <w:rFonts w:ascii="Times New Roman" w:hAnsi="Times New Roman"/>
          <w:color w:val="000000"/>
          <w:sz w:val="20"/>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Private Placement Convertible Notes totaled approximately $0 for the three and six months ending June 30, 2025 and is included in the fair value of the notes.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Interest on Debt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on debt totals $1.8 million for the six months ended June 30, 2025, representing the aggregate interest expenses / payments obligation to be paid and to be recognized during the rest of the terms of the Loan Agreements and Notes, described above.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has an operating lease for its real estate for office use. The lease term expires in October 2027. Banzai adopted ASC 842 Leases by applying the guidance at adoption date, January 1, 2022. The $24,250 balance recognized as of June 30, 2025 represents the future minimum lease payments under non-cancellable leases as liabilities.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Debt Structure and Maturity Profile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92"/>
        <w:gridCol w:w="146"/>
        <w:gridCol w:w="211"/>
        <w:gridCol w:w="676"/>
        <w:gridCol w:w="146"/>
        <w:gridCol w:w="146"/>
        <w:gridCol w:w="558"/>
        <w:gridCol w:w="1273"/>
        <w:gridCol w:w="166"/>
        <w:gridCol w:w="146"/>
        <w:gridCol w:w="252"/>
        <w:gridCol w:w="809"/>
        <w:gridCol w:w="146"/>
        <w:gridCol w:w="146"/>
        <w:gridCol w:w="276"/>
        <w:gridCol w:w="752"/>
        <w:gridCol w:w="146"/>
        <w:gridCol w:w="146"/>
        <w:gridCol w:w="398"/>
        <w:gridCol w:w="1276"/>
        <w:gridCol w:w="198"/>
      </w:tblGrid>
      <w:tr>
        <w:trPr/>
        <w:tc>
          <w:tcPr>
            <w:tcW w:w="2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Debt Premium (Discount) / Issuance 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Carrying Value and Accrued Interest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- 15.5%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Agile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- 1800 Diagonal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carrying values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14,223</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Agile Notes and 1800 Diagonal Notes are presented at its fair value on the condensed consolidated balance sheets.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ASC 606, revenue is recognized throughout the life of the executed agreement. Banzai measures revenue based on considerations specified in terms and conditions agreed to by a customer. Furthermore, Banzai recognizes revenue in an amount that reflects the consideration we expect to be entitled to in exchange for those services. The performance obligation is satisfied by transferring control of the service to the customer, which occurs over time.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Banzai’s existing lease contains an escalation clause. Prior to adoption of ASU 2016-02 effective January 1, 2022, Banzai accounted for operating lease transactions by recording lease expense on a straight-line basis over the expected term of the lease.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entered into a sublease which it had identified as an operating lease prior to the adoption of ASC 842 Leases. Banzai remains the primary obligor to the head lease lessor, making rental payments directly to the lessor and separately billing the sublessee. The sublease is subordinated to the master lease, and the sublessee must comply with all applicable terms of the master lease. Banzai subleased the real estate to a third-party at a monthly rental payment amount that was less than the monthly cost that it pays on the headlease with the lessor.</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GEM commitment fee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2022, the Company entered into a Share Purchase Agreement with GEM Global Yield LLC SCS and GEM Yield Bahamas Limited (collectively, “GEM”) (the “GEM Agreement”) pursuant to which, among other things, upon the terms and subject to the conditions of the GEM Agreement, GEM is to purchase from the Company (or its successor following a Reverse Merger Transaction (as defined in the GEM Agreement)) up to the number of duly authorized, validly issued, fully paid and non-assessable shares of common stock having an aggregate value of $100,000,000 (the “GEM Financing”). Further, in terms of the GEM Agreement, on the Public Listing Date, the Company was required to make and execute a warrant ("GEM Warrant") granting GEM the right to purchase up to the number of common shares of the Company that would be equal to 3% of the total equity interests, calculated on a fully diluted basis, and at an exercise price per share equal to the lesser of (i) the public offering price or closing bid price on the date of public listing or (ii) the quotient obtained by dividing $650 million by the total number of equity interests.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13, 2023, the Company and GEM entered into a binding term sheet (the “GEM Term Sheet”) and, on December 14, 2023, a letter agreement (the “GEM Letter”), agreeing to terminate in its entirety the GEM Agreement by and between the Company and GEM, other than with respect to the Company’s obligation (as the post-combination company in the Merger) to issue the GEM Warrant granting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June 30, 2025, the Company recognized, concurrent with the close of the merger, a liability for the GEM commitment fee, along with a corresponding GEM commitment fee expense, in the amount of $2.0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February 5, 2024, the Company and GEM entered into a settlement agreement (the “GEM Settlement Agreement”), pursuant to which (a) the Company and GEM agreed to (i) settle the Company’s obligations under and terminate the binding term sheet entered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note in the amount of $1.0 million, payable in monthly installments of $100,000 beginning on March 1, 2024, with the final payment to be made on December 1, 2024 (the “GEM Promissory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4,000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As of the date of these condensed consolidated financial statements, we have issued an aggregate of 19,000 shares of Class A Common Stock to GEM in lieu of monthly payment obligations.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had no off-balance sheet arrangements as of June 30, 2025.</w:t>
      </w:r>
    </w:p>
    <w:p>
      <w:pPr>
        <w:pStyle w:val="TextBody"/>
        <w:bidi w:val="0"/>
        <w:jc w:val="both"/>
        <w:rPr/>
      </w:pPr>
      <w:r>
        <w:rPr/>
        <w:t> </w:t>
      </w:r>
    </w:p>
    <w:p>
      <w:pPr>
        <w:pStyle w:val="TextBody"/>
        <w:bidi w:val="0"/>
        <w:jc w:val="left"/>
        <w:rPr>
          <w:rFonts w:ascii="Times New Roman" w:hAnsi="Times New Roman"/>
          <w:b/>
          <w:color w:val="000000"/>
          <w:sz w:val="20"/>
        </w:rPr>
      </w:pPr>
      <w:bookmarkStart w:id="9" w:name="item_3_quantitative_and_qualitative"/>
      <w:bookmarkEnd w:id="9"/>
      <w:r>
        <w:rPr>
          <w:rFonts w:ascii="Times New Roman" w:hAnsi="Times New Roman"/>
          <w:b/>
          <w:color w:val="000000"/>
          <w:sz w:val="20"/>
        </w:rPr>
        <w:t>Item 3. Quantitative and Qualitative Disclosures About Market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item is not applicable as we are a smaller reporting company. </w:t>
      </w:r>
    </w:p>
    <w:p>
      <w:pPr>
        <w:pStyle w:val="TextBody"/>
        <w:bidi w:val="0"/>
        <w:jc w:val="both"/>
        <w:rPr/>
      </w:pPr>
      <w:r>
        <w:rPr/>
        <w:t> </w:t>
      </w:r>
    </w:p>
    <w:p>
      <w:pPr>
        <w:pStyle w:val="TextBody"/>
        <w:bidi w:val="0"/>
        <w:jc w:val="left"/>
        <w:rPr>
          <w:rFonts w:ascii="Times New Roman" w:hAnsi="Times New Roman"/>
          <w:b/>
          <w:color w:val="000000"/>
          <w:sz w:val="20"/>
        </w:rPr>
      </w:pPr>
      <w:bookmarkStart w:id="10" w:name="item_4_controls_and_procedures"/>
      <w:bookmarkEnd w:id="10"/>
      <w:r>
        <w:rPr>
          <w:rFonts w:ascii="Times New Roman" w:hAnsi="Times New Roman"/>
          <w:b/>
          <w:color w:val="000000"/>
          <w:sz w:val="20"/>
        </w:rPr>
        <w:t>Item 4. Controls and Procedures.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have evaluated the effectiveness of the design and operation of our “disclosure controls and procedures,” as such term is defined in Rule 13a-15(e) or Rule 15d-15(e) promulgated under the Exchange Act as of the end of the period covered by this report. Based upon that evaluation, our Chief Executive Officer and Chief Financial Officer have concluded that our disclosure controls and procedures were not effective as of June 30, 2025 to provide reasonable assurance that material information required to be disclosed by us in reports that we file or submit under the Exchange Act is recorded, processed, summarized and reported within the time periods specified in SEC rules and forms due to the material weaknesses in our IT General Controls, adherence to the COSO Integrated Framework, and period end financial close and reporting process as described in our Annual Report on Form 10-K for the year ended December 31, 2024, as filed with the SEC on April 15, 2025 (the “2024 10-K").</w:t>
      </w:r>
    </w:p>
    <w:p>
      <w:pPr>
        <w:pStyle w:val="TextBody"/>
        <w:bidi w:val="0"/>
        <w:jc w:val="both"/>
        <w:rPr>
          <w:rFonts w:ascii="Times New Roman" w:hAnsi="Times New Roman"/>
          <w:color w:val="000000"/>
          <w:sz w:val="20"/>
        </w:rPr>
      </w:pPr>
      <w:r>
        <w:rPr>
          <w:rFonts w:ascii="Times New Roman" w:hAnsi="Times New Roman"/>
          <w:color w:val="000000"/>
          <w:sz w:val="20"/>
        </w:rPr>
        <w:t>We are committed to the remediation of the material weaknesses as well as the continued improvement of our internal control over financial reporting. We are in the process of taking steps to remediate the identified material weaknesses and continue to evaluate our internal controls over financial reporting, as disclosed in the 2024 10-K.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we continue our evaluation and improve our internal control over financial reporting, management may identify and take additional measures to address control deficiencies. We cannot assure you that we will be successful in remediating the material weaknesses in a timely manner.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required by Rule 13a-15(d) of the Exchange Act, our management, including our principal executive officer and our principal financial officer, conducted an evaluation of the internal control over financial reporting to determine whether any changes occurred during the six months ended June 30, 2025, that have materially affected, or are reasonably likely to materially affect, our internal control over financial reporting. Based on that evaluation, our principal executive officer and principal financial officer concluded that the merger transaction with Vidello is considered a significant corporate event during the six months ended June 30, 2025.</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31, 2025, our company closed and completed a merger with Vidello Limited ("Vidello"), a private limited company registered in England and Wales, pursuant to an Merger Agreement (the "Vidello Merger Agreement"), dated December 19, 2024, by and among Vidello, and certain shareholders of Vidello (the "Vidello Shareholders"). As a result, there have been material changes to our internal control environment. Our management has begun to assess and adjust our internal control processes to accommodate the integration of systems, personnel, and financial reporting functions. We will work on implementing additional controls to address the combined entity’s financial reporting requirements, ensuring accuracy, reliability, and compliance. While we believe these adjustments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will enhance our overall control framework, we continue to monitor and evaluate their effectiveness to maintain the highest standards of financial reporting integrity.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the changes noted above regarding our steps to remediate our material weaknesses and the Vidello merger, there were no other changes in our internal control over financial reporting (as the term is defined in Rules 13a-15(f) and 15d-15(f) under the Exchange Act) during the six months ended June 30, 2025 that have materially affected, or is reasonably likely to materially affect, the Company’s internal control over financial reporting.</w:t>
      </w:r>
    </w:p>
    <w:p>
      <w:pPr>
        <w:pStyle w:val="TextBody"/>
        <w:bidi w:val="0"/>
        <w:jc w:val="both"/>
        <w:rPr/>
      </w:pPr>
      <w:r>
        <w:rPr/>
        <w:t> </w:t>
      </w:r>
    </w:p>
    <w:p>
      <w:pPr>
        <w:pStyle w:val="TextBody"/>
        <w:bidi w:val="0"/>
        <w:jc w:val="center"/>
        <w:rPr>
          <w:rFonts w:ascii="Times New Roman" w:hAnsi="Times New Roman"/>
          <w:b/>
          <w:color w:val="000000"/>
          <w:sz w:val="20"/>
        </w:rPr>
      </w:pPr>
      <w:bookmarkStart w:id="11" w:name="part_ii_other_information"/>
      <w:bookmarkEnd w:id="11"/>
      <w:r>
        <w:rPr>
          <w:rFonts w:ascii="Times New Roman" w:hAnsi="Times New Roman"/>
          <w:b/>
          <w:color w:val="000000"/>
          <w:sz w:val="20"/>
        </w:rPr>
        <w:t>PART II—OTHER INFORMATION</w:t>
      </w:r>
    </w:p>
    <w:p>
      <w:pPr>
        <w:pStyle w:val="TextBody"/>
        <w:bidi w:val="0"/>
        <w:jc w:val="center"/>
        <w:rPr/>
      </w:pPr>
      <w:r>
        <w:rPr/>
        <w:t> </w:t>
      </w:r>
    </w:p>
    <w:p>
      <w:pPr>
        <w:pStyle w:val="TextBody"/>
        <w:bidi w:val="0"/>
        <w:jc w:val="left"/>
        <w:rPr>
          <w:rFonts w:ascii="Times New Roman" w:hAnsi="Times New Roman"/>
          <w:b/>
          <w:color w:val="000000"/>
          <w:sz w:val="20"/>
        </w:rPr>
      </w:pPr>
      <w:bookmarkStart w:id="12" w:name="item_1_legal_proceedings"/>
      <w:bookmarkEnd w:id="12"/>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To the best of our knowledge,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jc w:val="both"/>
        <w:rPr/>
      </w:pPr>
      <w:r>
        <w:rPr/>
        <w:t> </w:t>
      </w:r>
    </w:p>
    <w:p>
      <w:pPr>
        <w:pStyle w:val="TextBody"/>
        <w:bidi w:val="0"/>
        <w:jc w:val="left"/>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 smaller reporting company as defined by Rule 12b-2 of the Securities Exchange Act of 1934 and, as such, are not required to provide the information under this item. A description of risk factors can be found in our Annual Report on Form 10-K for the year ended December 31, 2024 as supplemented and updated by subsequent quarterly reports on Form 10-Q and current reports on Form 8-K that we have filed or will file with the SEC. Please also see the risk factor stated below.</w:t>
      </w:r>
    </w:p>
    <w:p>
      <w:pPr>
        <w:pStyle w:val="TextBody"/>
        <w:bidi w:val="0"/>
        <w:jc w:val="both"/>
        <w:rPr>
          <w:rFonts w:ascii="Times New Roman" w:hAnsi="Times New Roman"/>
          <w:b/>
          <w:i/>
          <w:color w:val="000000"/>
          <w:sz w:val="20"/>
        </w:rPr>
      </w:pPr>
      <w:r>
        <w:rPr>
          <w:rFonts w:ascii="Times New Roman" w:hAnsi="Times New Roman"/>
          <w:b/>
          <w:i/>
          <w:color w:val="000000"/>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jc w:val="both"/>
        <w:rPr>
          <w:rFonts w:ascii="Times New Roman" w:hAnsi="Times New Roman"/>
          <w:color w:val="000000"/>
          <w:sz w:val="20"/>
        </w:rPr>
      </w:pPr>
      <w:r>
        <w:rPr>
          <w:rFonts w:ascii="Times New Roman" w:hAnsi="Times New Roman"/>
          <w:color w:val="000000"/>
          <w:sz w:val="20"/>
        </w:rPr>
        <w:t>Nasdaq Marketplace Rule 5550(a)(2) requires a minimum bid price of $1.00 per share for primary equity securities listed on the Nasdaq Capital Market (the “Minimum Bid Price Requirement”).</w:t>
      </w:r>
    </w:p>
    <w:p>
      <w:pPr>
        <w:pStyle w:val="TextBody"/>
        <w:bidi w:val="0"/>
        <w:jc w:val="both"/>
        <w:rPr>
          <w:rFonts w:ascii="Times New Roman" w:hAnsi="Times New Roman"/>
          <w:color w:val="000000"/>
          <w:sz w:val="20"/>
        </w:rPr>
      </w:pPr>
      <w:r>
        <w:rPr>
          <w:rFonts w:ascii="Times New Roman" w:hAnsi="Times New Roman"/>
          <w:color w:val="000000"/>
          <w:sz w:val="20"/>
        </w:rPr>
        <w:t>To regain compliance with the Minimum Bid Price Rule, the Company effected a reverse stock split at a ratio of 1-for-50, effective as of September 19, 2024 (the “September Reverse Stock Split”). Subsequently, the Company effected a 1-for-10 reverse stock split of the shares of the Company’s common stock, effective as of July 8, 2025 (the “July Reverse Stock Split”). Following the July Reverse Stock Split, the bid price of the Company’s common stock surpassed $1.00 per share. However, we have not yet been notified that we regained compliance with the Minimum Bid Price Requirement and cannot guarantee that Nasdaq will decide that we have.</w:t>
      </w:r>
    </w:p>
    <w:p>
      <w:pPr>
        <w:pStyle w:val="TextBody"/>
        <w:bidi w:val="0"/>
        <w:jc w:val="both"/>
        <w:rPr>
          <w:rFonts w:ascii="Times New Roman" w:hAnsi="Times New Roman"/>
          <w:sz w:val="20"/>
        </w:rPr>
      </w:pPr>
      <w:r>
        <w:rPr>
          <w:rFonts w:ascii="Times New Roman" w:hAnsi="Times New Roman"/>
          <w:color w:val="000000"/>
          <w:sz w:val="20"/>
        </w:rPr>
        <w:t xml:space="preserve">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w:t>
      </w:r>
      <w:r>
        <w:rPr>
          <w:rFonts w:ascii="Times New Roman" w:hAnsi="Times New Roman"/>
          <w:i/>
          <w:color w:val="000000"/>
          <w:sz w:val="20"/>
        </w:rPr>
        <w:t>Rule 5810</w:t>
      </w:r>
      <w:r>
        <w:rPr>
          <w:rFonts w:ascii="Times New Roman" w:hAnsi="Times New Roman"/>
          <w:color w:val="000000"/>
          <w:sz w:val="20"/>
        </w:rPr>
        <w:t>(c)(3)(A)(iv)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w:t>
      </w:r>
    </w:p>
    <w:p>
      <w:pPr>
        <w:pStyle w:val="TextBody"/>
        <w:bidi w:val="0"/>
        <w:jc w:val="both"/>
        <w:rPr>
          <w:rFonts w:ascii="Times New Roman" w:hAnsi="Times New Roman"/>
          <w:color w:val="000000"/>
          <w:sz w:val="20"/>
        </w:rPr>
      </w:pPr>
      <w:r>
        <w:rPr>
          <w:rFonts w:ascii="Times New Roman" w:hAnsi="Times New Roman"/>
          <w:color w:val="000000"/>
          <w:sz w:val="20"/>
        </w:rPr>
        <w:t>As a result, since the Company has effected the 1-for-50 September Reverse Stock Split and the 1-for-10 July Reverse Split, Nasdaq would begin the process of delisting our common stock without providing a Minimum Bid Price Requirement compliance period. However, the Company could still be eligible to request a hearing before the Nasdaq Panel to present its plan for regaining and sustaining compliance with the Minimum Bid Price Requirement.</w:t>
      </w:r>
    </w:p>
    <w:p>
      <w:pPr>
        <w:pStyle w:val="TextBody"/>
        <w:bidi w:val="0"/>
        <w:jc w:val="both"/>
        <w:rPr>
          <w:rFonts w:ascii="Times New Roman" w:hAnsi="Times New Roman"/>
          <w:color w:val="000000"/>
          <w:sz w:val="20"/>
        </w:rPr>
      </w:pPr>
      <w:r>
        <w:rPr>
          <w:rFonts w:ascii="Times New Roman" w:hAnsi="Times New Roman"/>
          <w:color w:val="000000"/>
          <w:sz w:val="20"/>
        </w:rPr>
        <w:t>If our common stock ceases to be listed for trading on the Nasdaq Capital Market, we expect that our common stock would be traded on one of the three tiered marketplaces of the OTC Markets Group. If Nasdaq were to delist our common stock, it would be more difficult for our stockholders to dispose of our common stock and more difficult to obtain accurate price quotations on our common stock. Our ability to issue additional securities for financing or other purposes, or otherwise to arrange for any financing we may need in the future, may also be materially and adversely affected if our common stock or warrants are not listed on a national securities exchange.</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item_2_unregistered_sales_of_equity"/>
      <w:bookmarkEnd w:id="14"/>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During the period covered by this report,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4(a)(2) thereof and/or Rule 506 of Regulation D promulgated thereunder, and/or Regulation S promulgated thereunder regarding offshore offers and sales. All recipients had adequate access, though their relationships with the Registrant, to information about the Registrant. </w:t>
      </w:r>
    </w:p>
    <w:p>
      <w:pPr>
        <w:pStyle w:val="TextBody"/>
        <w:bidi w:val="0"/>
        <w:jc w:val="left"/>
        <w:rPr/>
      </w:pPr>
      <w:r>
        <w:rPr/>
        <w:t> </w:t>
      </w:r>
    </w:p>
    <w:p>
      <w:pPr>
        <w:pStyle w:val="TextBody"/>
        <w:bidi w:val="0"/>
        <w:jc w:val="both"/>
        <w:rPr>
          <w:rFonts w:ascii="Times New Roman" w:hAnsi="Times New Roman"/>
          <w:i/>
          <w:color w:val="212529"/>
          <w:sz w:val="20"/>
        </w:rPr>
      </w:pPr>
      <w:r>
        <w:rPr>
          <w:rFonts w:ascii="Times New Roman" w:hAnsi="Times New Roman"/>
          <w:i/>
          <w:color w:val="212529"/>
          <w:sz w:val="20"/>
        </w:rPr>
        <w:t>Hudson Global Ventures, LLC Consulting Services Agreement</w:t>
      </w:r>
    </w:p>
    <w:p>
      <w:pPr>
        <w:pStyle w:val="TextBody"/>
        <w:bidi w:val="0"/>
        <w:jc w:val="both"/>
        <w:rPr>
          <w:rFonts w:ascii="Times New Roman" w:hAnsi="Times New Roman"/>
          <w:color w:val="212529"/>
          <w:sz w:val="20"/>
        </w:rPr>
      </w:pPr>
      <w:r>
        <w:rPr>
          <w:rFonts w:ascii="Times New Roman" w:hAnsi="Times New Roman"/>
          <w:color w:val="212529"/>
          <w:sz w:val="20"/>
        </w:rPr>
        <w:t xml:space="preserve">On January 3, 2025, the Company issued 150,000 restricted shares of its Common Stock, partially in exchange for the business advisory services outlined in the Consulting Agreement with Hudson Global Ventures, LLC, a Nevada limited liability company. </w:t>
      </w:r>
    </w:p>
    <w:p>
      <w:pPr>
        <w:pStyle w:val="TextBody"/>
        <w:bidi w:val="0"/>
        <w:jc w:val="both"/>
        <w:rPr>
          <w:rFonts w:ascii="Times New Roman" w:hAnsi="Times New Roman"/>
          <w:i/>
          <w:color w:val="212529"/>
          <w:sz w:val="20"/>
        </w:rPr>
      </w:pPr>
      <w:r>
        <w:rPr>
          <w:rFonts w:ascii="Times New Roman" w:hAnsi="Times New Roman"/>
          <w:i/>
          <w:color w:val="212529"/>
          <w:sz w:val="20"/>
        </w:rPr>
        <w:t>CP BF Pre-Funded Warrant Exercise</w:t>
      </w:r>
    </w:p>
    <w:p>
      <w:pPr>
        <w:pStyle w:val="TextBody"/>
        <w:bidi w:val="0"/>
        <w:jc w:val="both"/>
        <w:rPr>
          <w:rFonts w:ascii="Times New Roman" w:hAnsi="Times New Roman"/>
          <w:color w:val="000000"/>
          <w:sz w:val="20"/>
        </w:rPr>
      </w:pPr>
      <w:r>
        <w:rPr>
          <w:rFonts w:ascii="Times New Roman" w:hAnsi="Times New Roman"/>
          <w:color w:val="000000"/>
          <w:sz w:val="20"/>
        </w:rPr>
        <w:t>On January 7, 2025, the Company issued 4 shares of Class A Common Stock for exercise of four (4) pre-funded warrants under the CP BF Pre-Funded Warrant, to CP BF.</w:t>
      </w:r>
    </w:p>
    <w:p>
      <w:pPr>
        <w:pStyle w:val="TextBody"/>
        <w:bidi w:val="0"/>
        <w:jc w:val="both"/>
        <w:rPr>
          <w:rFonts w:ascii="Times New Roman" w:hAnsi="Times New Roman"/>
          <w:i/>
          <w:color w:val="000000"/>
          <w:sz w:val="20"/>
        </w:rPr>
      </w:pPr>
      <w:r>
        <w:rPr>
          <w:rFonts w:ascii="Times New Roman" w:hAnsi="Times New Roman"/>
          <w:i/>
          <w:color w:val="000000"/>
          <w:sz w:val="20"/>
        </w:rPr>
        <w:t>RSU Issuance to Executives</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6, 2025, the Company issued 337,773 shares of Class A common stock related to RSUs issued to executives as part of the Company's fiscal 2024 bonus plan, following Board approvals. </w:t>
      </w:r>
    </w:p>
    <w:p>
      <w:pPr>
        <w:pStyle w:val="TextBody"/>
        <w:bidi w:val="0"/>
        <w:jc w:val="both"/>
        <w:rPr>
          <w:rFonts w:ascii="Times New Roman" w:hAnsi="Times New Roman"/>
          <w:i/>
          <w:color w:val="000000"/>
          <w:sz w:val="20"/>
        </w:rPr>
      </w:pPr>
      <w:r>
        <w:rPr>
          <w:rFonts w:ascii="Times New Roman" w:hAnsi="Times New Roman"/>
          <w:i/>
          <w:color w:val="000000"/>
          <w:sz w:val="20"/>
        </w:rPr>
        <w:t>Shares of Class A Common Stock issued to Winterberry</w:t>
      </w:r>
    </w:p>
    <w:p>
      <w:pPr>
        <w:pStyle w:val="TextBody"/>
        <w:bidi w:val="0"/>
        <w:jc w:val="both"/>
        <w:rPr>
          <w:rFonts w:ascii="Times New Roman" w:hAnsi="Times New Roman"/>
          <w:color w:val="000000"/>
          <w:sz w:val="20"/>
        </w:rPr>
      </w:pPr>
      <w:r>
        <w:rPr>
          <w:rFonts w:ascii="Times New Roman" w:hAnsi="Times New Roman"/>
          <w:color w:val="000000"/>
          <w:sz w:val="20"/>
        </w:rPr>
        <w:t>On February 4, 2025 the Company issued 30,000 shares to Verista Partners, Inc., aka Winterberry Group, one of its Creditors, in exchange for the cancellation of a portion of the total outstanding debt, in the amount of $16,666, pursuant to the Debt Reorganization.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Consultant Shares</w:t>
      </w:r>
    </w:p>
    <w:p>
      <w:pPr>
        <w:pStyle w:val="TextBody"/>
        <w:bidi w:val="0"/>
        <w:jc w:val="both"/>
        <w:rPr>
          <w:rFonts w:ascii="Times New Roman" w:hAnsi="Times New Roman"/>
          <w:color w:val="000000"/>
          <w:sz w:val="20"/>
        </w:rPr>
      </w:pPr>
      <w:r>
        <w:rPr>
          <w:rFonts w:ascii="Times New Roman" w:hAnsi="Times New Roman"/>
          <w:color w:val="000000"/>
          <w:sz w:val="20"/>
        </w:rPr>
        <w:t>On April 25, 2005, the Company issued 40,000 restricted shares of its Class A Common Stock to Hudson Global Ventures, LLC, a Nevada limited liability company, in exchange for certain business advisory services as outlined in a consulting agreement that was executed on April 1,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Private Placement</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 private placement agreement with certain investors to sell 31,884 shares of Class A common stock at $6.90 per share and 32,352 prefunded warrants (the "May 2025 Prefunded Warrants") at $3.40 per warrant. The May 2025 Prefunded Warrants were immediately exercised, resulting in the issuance of 32,352 shares of Class A common stock. The Company collected in aggregate $330,000 of gross proceeds from this private placement.</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Shares of Class A Common Stock issued to 1800 Diagonal</w:t>
      </w:r>
    </w:p>
    <w:p>
      <w:pPr>
        <w:pStyle w:val="TextBody"/>
        <w:bidi w:val="0"/>
        <w:jc w:val="both"/>
        <w:rPr>
          <w:rFonts w:ascii="Times New Roman" w:hAnsi="Times New Roman"/>
          <w:color w:val="000000"/>
          <w:sz w:val="20"/>
        </w:rPr>
      </w:pPr>
      <w:r>
        <w:rPr>
          <w:rFonts w:ascii="Times New Roman" w:hAnsi="Times New Roman"/>
          <w:color w:val="000000"/>
          <w:sz w:val="20"/>
        </w:rPr>
        <w:t>Between July 22, 2025 and August 11, 2025, the Company issued an aggregate of 59,800 shares of Class A Common Stock, pursuant to conversion notices from 1800 Diagonal to convert an aggregate of $143,604 in notes the Company previously issued to them; the conversion price varied between $2.685 per share and $2.167 per share.</w:t>
      </w:r>
    </w:p>
    <w:p>
      <w:pPr>
        <w:pStyle w:val="TextBody"/>
        <w:bidi w:val="0"/>
        <w:jc w:val="left"/>
        <w:rPr/>
      </w:pPr>
      <w:r>
        <w:rPr/>
        <w:t> </w:t>
      </w:r>
    </w:p>
    <w:p>
      <w:pPr>
        <w:pStyle w:val="TextBody"/>
        <w:bidi w:val="0"/>
        <w:jc w:val="left"/>
        <w:rPr>
          <w:rFonts w:ascii="Times New Roman" w:hAnsi="Times New Roman"/>
          <w:b/>
          <w:color w:val="000000"/>
          <w:sz w:val="20"/>
        </w:rPr>
      </w:pPr>
      <w:bookmarkStart w:id="15" w:name="item_3_defaults_upon_senior_securities"/>
      <w:bookmarkEnd w:id="15"/>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sz w:val="20"/>
        </w:rPr>
      </w:pPr>
      <w:bookmarkStart w:id="16" w:name="item_4_mine_safety_disclosures"/>
      <w:bookmarkEnd w:id="1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17" w:name="item_5_other_information"/>
      <w:bookmarkEnd w:id="17"/>
      <w:r>
        <w:rPr>
          <w:rFonts w:ascii="Times New Roman" w:hAnsi="Times New Roman"/>
          <w:b/>
          <w:color w:val="000000"/>
          <w:sz w:val="20"/>
        </w:rPr>
        <w:t>Item 5. Other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2025, no director or officer of the Company adopted or terminated a “Rule 10b5-1 trading arrangement” or “non-Rule 10b5-1 trading arrangement,” as these terms are defined in Item 408(a) of Regulation S-K.</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8" w:name="item_6_exhibits"/>
      <w:bookmarkEnd w:id="18"/>
      <w:r>
        <w:rPr>
          <w:rFonts w:ascii="Times New Roman" w:hAnsi="Times New Roman"/>
          <w:b/>
          <w:color w:val="000000"/>
          <w:sz w:val="20"/>
        </w:rPr>
        <w:t>Item 6. Exhibits.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documents are included as exhibits to this Quarterly Report on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"rom441541_40"</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Agreement and Plan of Merger, dated December 8, 2022, by and among Banzai, 7GC, First Merger Sub and Second Merger Sub (incorporated by reference to Annex A-1 to the Registration Statement on Form S-4 filed on August 31, 2023).</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"https://www.sec.gov/Archives/edgar/data/1826011/000119312523225201/d441541ds4.htm" \l "rom441541_40"</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"rom441541_41"</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Amendment to Agreement and Plan of Merger, dated August 4, 2023, by and among the Company and 7GC (incorporated by reference to Annex A-2 to the Registration Statement on Form S-4 filed on August 31, 2023).</w:t>
            </w:r>
            <w:r>
              <w:rPr>
                <w:rStyle w:val="InternetLink"/>
                <w:sz w:val="20"/>
                <w:u w:val="single"/>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December 10, 2024, by and among Banzai International, Inc., Banzai Reel Acquisition, Inc. ClearDoc, Inc., and certain stockholders of ClearDoc, Inc. (incorporated by reference to Exhibit 2.1 to the Current Report on Form 8-K filed on December 19,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Acquisition Agreement, dated December 19, 2024, by and among Banzai International, Inc., Vidello Limited, and the Shareholders of Vidello Limited (incorporated by reference to Exhibit 2.1 to the Current Report on Form 8-K filed on December 20,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Agreement and Plan of Merger, dated January 22, 2025 by and between Banzai International, Inc. and Act-On Software, Inc. (incorporated by reference to the Current Report on Form 8-K filed on January 23, 2025)</w:t>
              </w:r>
            </w:hyperlink>
          </w:p>
        </w:tc>
      </w:tr>
      <w:tr>
        <w:trPr/>
        <w:tc>
          <w:tcPr>
            <w:tcW w:w="8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Second Amended and Restated Certificate of Incorporation of the Company, dated December 14, 2023. (incorporated by reference to the Exhibit 3.1 to the Current Report on Form 8-K filed on December 20, 2023).</w:t>
              </w:r>
            </w:hyperlink>
            <w:hyperlink r:id="rId6">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Second Amended and Restated Bylaws of the Company, dated December 14, 2023 (incorporated by reference to the Exhibit 3.2 to the Current Report on Form 8-K filed on December 20, 2023).</w:t>
              </w:r>
            </w:hyperlink>
            <w:hyperlink r:id="rId8">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Third Amended and Restated Bylaws of the Company, dated March 3, 2025 (incorporated by reference to the Exhibit 3.2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Amendment to Second Amended and Restated Certificate of Incorporation of the Company, dated September 11, 2024. (incorporated by reference to the Exhibit 3.1 to the Current Report on Form 8-K filed on September 16,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Amendment to Second Amended and Restated Certificate of Incorporation of the Company, dated March 3, 2025. (incorporated by reference to the Exhibit 3.1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Amendment (2025 Stock Split) to Certificate of Incorporation of the Company, dated June 24, 2025. (incorporated by reference to the Exhibit 3.1 to the Current Report on Form 8-K filed on June 27,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Specimen Class A Common Stock Certificate of the Company (incorporated by reference to the Exhibit 4.1 to the Current Report on Form 8-K filed on December 20, 2023).</w:t>
              </w:r>
            </w:hyperlink>
            <w:hyperlink r:id="rId14">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Specimen Class B Common Stock Certificate of the Company (incorporated by reference to the Exhibit 4.2 to the Current Report on Form 8-K filed on December 20, 2023).</w:t>
              </w:r>
            </w:hyperlink>
            <w:hyperlink r:id="rId16">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Specimen Warrant Certificate of the Company (incorporated by reference to the Exhibit 4.3 to the Current Report on Form 8-K filed on December 20, 2023).</w:t>
              </w:r>
            </w:hyperlink>
            <w:hyperlink r:id="rId18">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Warrant Agreement, dated December 22, 2020, by and between 7GC and Continental Stock Transfer &amp; Trust Company, as warrant agent (incorporated by reference to Exhibit 4.1 to the Current Report on Form 8-K filed by 7GC on December 28, 2020).</w:t>
              </w:r>
            </w:hyperlink>
            <w:hyperlink r:id="rId20">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Amended and Restated Convertible Promissory Note, by and among Banzai and CP BF Lending, LLC (incorporated by reference to Exhibit 4.7 to the Registration Statement on Form S-4 filed by 7GC on August 30, 2023).</w:t>
              </w:r>
            </w:hyperlink>
            <w:hyperlink r:id="rId22">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Subordinated Promissory Note, dated December 13, 2023, issued by the Company to Alco Investment Company (incorporated by reference to the Exhibit 4.5 to the Current Report on Form 8-K filed on December 20, 2023).</w:t>
              </w:r>
            </w:hyperlink>
            <w:hyperlink r:id="rId24">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Warrant to Purchase Shares of Common Stock of Banzai International, Inc., dated December 15, 2023, issued by the Company to GEM Yield Bahamas Limited (incorporated by reference to the Exhibit 4.7 to the Current Report on Form 8-K filed on December 20, 2023).</w:t>
              </w:r>
            </w:hyperlink>
            <w:hyperlink r:id="rId26">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Promissory Note, dated as of December 14, 2023, issued by Banzai International, Inc. to YA II PN, LTD (incorporated by reference to Exhibit 10.2 to the Current Report on Form 8-K filed on December 18,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Promissory Note, dated as of February 5, 2024, issued by Banzai International, Inc. to YA II PN, LTD (incorporated by reference to the Exhibit 4.11 to the Registration Statement on Form S-1 filed on February 5, 2024).</w:t>
              </w:r>
            </w:hyperlink>
            <w:hyperlink r:id="rId29">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Promissory Note Agreement, dated as of March 26, 2024, issued by Banzai International, Inc. to YA II PN, LTD (incorporated by reference to Exhibit 4.10 to the Annual Report on Form 10-K filed on April 15,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Certificate of Designation of Series FE Preferred Stock (incorporated by reference to the 8-K filed on December 19,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Senior Secured Convertible Note (incorporated by reference to the Current Report on Form 8-K filed on July 3,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Form of Warrant (incorporated by reference to the Current Report on Form 8-K filed on July 3,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Letter Agreement, dated December 22, 2020, by and among 7GC, its officers, its directors and the 7GC Sponsor (incorporated by reference to Exhibit 10.1 to the Current Report on Form 8-K filed by 7GC on December 28, 2020).</w:t>
              </w:r>
            </w:hyperlink>
            <w:hyperlink r:id="rId35">
              <w:r>
                <w:rPr>
                  <w:rStyle w:val="InternetLink"/>
                  <w:rFonts w:ascii="Times New Roman" w:hAnsi="Times New Roman"/>
                  <w:color w:val="0000FF"/>
                  <w:sz w:val="20"/>
                </w:rPr>
                <w:t xml:space="preserve"> </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0"/>
        <w:gridCol w:w="146"/>
        <w:gridCol w:w="9439"/>
      </w:tblGrid>
      <w:tr>
        <w:trPr/>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39" w:type="dxa"/>
            <w:tcBorders/>
            <w:vAlign w:val="center"/>
          </w:tcPr>
          <w:p>
            <w:pPr>
              <w:pStyle w:val="TableContents"/>
              <w:bidi w:val="0"/>
              <w:spacing w:before="0" w:after="283"/>
              <w:jc w:val="left"/>
              <w:rPr>
                <w:sz w:val="4"/>
                <w:szCs w:val="4"/>
              </w:rPr>
            </w:pPr>
            <w:r>
              <w:rPr>
                <w:sz w:val="4"/>
                <w:szCs w:val="4"/>
              </w:rPr>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Private Placement Warrants Purchase Agreement, dated December 22, 2020, by and between 7GC and the 7GC Sponsor (incorporated by reference to Exhibit 10.5 to the Current Report on Form 8-K filed by 7GC on December 15, 2020).</w:t>
              </w:r>
            </w:hyperlink>
            <w:hyperlink r:id="rId37">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Amended and Restated Registration Rights Agreement, dated December 14, 2023, by and among the Company, the 7GC Sponsor, certain stockholders of the Company (incorporated by reference to Exhibit 10.6 to the Current Report on Form 8-K filed on December 20, 2023).</w:t>
              </w:r>
            </w:hyperlink>
            <w:hyperlink r:id="rId39">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"rom441541_44"</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Form of Lock-Up Agreement, by and between the Company and certain stockholders and executives of Legacy Banzai (incorporated by reference to Annex D to the Registration Statement on Form S-4 filed on August 31, 2023).</w:t>
            </w:r>
            <w:r>
              <w:rPr>
                <w:rStyle w:val="InternetLink"/>
                <w:sz w:val="20"/>
                <w:u w:val="single"/>
                <w:rFonts w:ascii="Times New Roman" w:hAnsi="Times New Roman"/>
                <w:color w:val="0000FF"/>
              </w:rPr>
              <w:fldChar w:fldCharType="end"/>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Banzai International, Inc. 2023 Equity Incentive Plan (incorporated by reference to Exhibit 99.1 to the Registration Statement on Form S-8 filed on March 25, 2024).</w:t>
              </w:r>
            </w:hyperlink>
            <w:hyperlink r:id="rId41">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Banzai International, Inc. 2023 Employee Stock Purchase Plan (incorporated by reference to Exhibit 99.2 to the Registration Statement on Form S-8 filed on March 25, 2024).</w:t>
              </w:r>
            </w:hyperlink>
            <w:hyperlink r:id="rId43">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Loan Agreement, dated February 19, 2021, by and among the Company, Joseph P. Davy as an Individual Guarantor, Demio, Inc., as an Individual Guarantor and CP BF Lending, LLC, as Lender (incorporated by reference to Exhibit 10.16 to the Registration Statement on Form S-4 filed by 7GC on August 30, 2023).</w:t>
              </w:r>
            </w:hyperlink>
            <w:hyperlink r:id="rId45">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Forbearance Agreement, dated August 24, 2023, by and among the Company, the guarantors party to the Loan Agreement (as defined therein), and CP BF Lending, LLC (incorporated by reference to Exhibit 10.18 to the Registration Statement on Form S-4 filed by 7GC on August 30, 2023).</w:t>
              </w:r>
            </w:hyperlink>
            <w:r>
              <w:rPr>
                <w:rFonts w:ascii="Times New Roman" w:hAnsi="Times New Roman"/>
                <w:color w:val="0000FF"/>
                <w:sz w:val="20"/>
              </w:rPr>
              <w:t xml:space="preserve">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Promissory Note, dated October 3, 2023, issued by 7GC to the 7GC Sponsor (incorporated by reference to Exhibit 10.1 to the Current Report on Form 8-K filed by 7GC on October 4, 2023).</w:t>
              </w:r>
            </w:hyperlink>
            <w:hyperlink r:id="rId48">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Standby Equity Purchase Agreement, dated as of December 14, 2023, by and among the Company, YA II PN, LTD., and Banzai Operating Co LLC (f/k/a Banzai International, Inc.). (incorporated by reference to Exhibit 10.1 to the Current Report on Form 8-K filed on December 18, 2023).</w:t>
              </w:r>
            </w:hyperlink>
            <w:hyperlink r:id="rId50">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Registration Rights Agreement, dated as of December 14, 2023, by and between the Company and YA II PN, LTD. (incorporated by reference to Exhibit 10.3 to the Current Report on Form 8-K filed on December 18, 2023).</w:t>
              </w:r>
            </w:hyperlink>
            <w:hyperlink r:id="rId52">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Share Transfer Agreement, dated December 13, 2023, by and among the Company, the 7GC Sponsor and Alco Investment Company (incorporated by reference to Exhibit 10.5 to the Current Report on Form 8-K filed on December 20, 2023).</w:t>
              </w:r>
            </w:hyperlink>
            <w:hyperlink r:id="rId54">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Form of Indemnification Agreement by and between the Company and its directors and officers (incorporated by reference to Exhibit 10.8 to the Current Report on Form 8-K filed on December 20, 2023).</w:t>
              </w:r>
            </w:hyperlink>
            <w:hyperlink r:id="rId56">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Amendment to Fee Reduction Agreement, dated December 28, 2023, by and between the Company and Cantor Fitzgerald (incorporated by reference to the Exhibit 10.26 to the Registration Statement on Form S-1 filed on February 5, 2024).</w:t>
              </w:r>
            </w:hyperlink>
            <w:hyperlink r:id="rId58">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Settlement Agreement, dated February 5, 2024, by and between the Company, GEM Global Yield LLC SCS and GEM Yield Bahamas Limited (incorporated by reference to the Exhibit 10.27 of Amendment No. 1 to the Registration Statement on Form S-1 filed on February 5, 2024).</w:t>
              </w:r>
            </w:hyperlink>
            <w:hyperlink r:id="rId60">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Unsecured Promissory Note, dated February 5, 2024, issued by the Company to GEM Global Yield LLC SCS (incorporated by reference to Exhibit 10.4 to the Current Report on Form 8-K filed on February 8 ,2024).</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Supplemental Agreement, dated February 5, 2024, by and between the Company and YA II PN, LTD (incorporated by reference to Exhibit 10.29 of Amendment No. 1 to the Registration Statement on Form S-1 filed on February 5, 2024).</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20"/>
                  <w:u w:val="single"/>
                </w:rPr>
                <w:t>Addendum to Letter Agreements, dated February 5, 2024, by and between the Company and Roth Capital Partners, LLC (incorporated by reference to the Exhibit 10.30 of Amendment No. 1 to the Registration Statement on Form S-1 filed on February 5, 2024).</w:t>
              </w:r>
            </w:hyperlink>
            <w:hyperlink r:id="rId64">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Times New Roman" w:hAnsi="Times New Roman"/>
                  <w:color w:val="0000FF"/>
                  <w:sz w:val="20"/>
                  <w:u w:val="single"/>
                </w:rPr>
                <w:t>Form of Convertible Promissory Note issued to YA II PN, LTD (incorporated by reference to exhibit 10.1 to the Current Report on Form 8-K filed on February 3, 2025).</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Second Amendment to Loan Agreement by and among the Company, Demio Holding Inc., Banzai Operating Co. LLC and CP BF Lending, LLC, as Lender dated as of September 23, 2024 (incorporated by reference to the Exhibit 10.19 to the Current Report on Form 8-K/A filed on September 27, 2024).</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7">
              <w:r>
                <w:rPr>
                  <w:rStyle w:val="InternetLink"/>
                  <w:rFonts w:ascii="Times New Roman" w:hAnsi="Times New Roman"/>
                  <w:color w:val="0000FF"/>
                  <w:sz w:val="20"/>
                  <w:u w:val="single"/>
                </w:rPr>
                <w:t>Debt Repayment Agreement, dated as of May 3, 2024, by and among the Company and Yorkville (incorporated by reference to Exhibit 99.2 to the Current Report on Form 8-K filed on May 16, 2024).</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8">
              <w:r>
                <w:rPr>
                  <w:rStyle w:val="InternetLink"/>
                  <w:rFonts w:ascii="Times New Roman" w:hAnsi="Times New Roman"/>
                  <w:color w:val="0000FF"/>
                  <w:sz w:val="20"/>
                  <w:u w:val="single"/>
                </w:rPr>
                <w:t>Amended and Restated Debt Repayment Agreement, dated as of May 22, 2024, by and between the Company and Yorkville (incorporated by reference to Exhibit 4.12 to the Registration Statement filed on Form S-1 on September 19, 2024).</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9">
              <w:r>
                <w:rPr>
                  <w:rStyle w:val="InternetLink"/>
                  <w:rFonts w:ascii="Times New Roman" w:hAnsi="Times New Roman"/>
                  <w:color w:val="0000FF"/>
                  <w:sz w:val="20"/>
                  <w:u w:val="single"/>
                </w:rPr>
                <w:t>Form of Securities Purchase Agreement (incorporated by reference to Exhibit 10.1 to the Current Report on Form 8-K filed on May 28, 2024).</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0">
              <w:r>
                <w:rPr>
                  <w:rStyle w:val="InternetLink"/>
                  <w:rFonts w:ascii="Times New Roman" w:hAnsi="Times New Roman"/>
                  <w:color w:val="0000FF"/>
                  <w:sz w:val="20"/>
                  <w:u w:val="single"/>
                </w:rPr>
                <w:t>Form of Securities Purchase Agreement (incorporated by reference to the Exhibit 10.1 to the Current Report on Form 8-K filed on September 27, 2024).</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1">
              <w:r>
                <w:rPr>
                  <w:rStyle w:val="InternetLink"/>
                  <w:rFonts w:ascii="Times New Roman" w:hAnsi="Times New Roman"/>
                  <w:color w:val="0000FF"/>
                  <w:sz w:val="20"/>
                  <w:u w:val="single"/>
                </w:rPr>
                <w:t>Lock-up Agreement, dated as of September 20, 2024, by and between Banzai International, Inc. and Alco Investment Company (incorporated by reference to the Exhibit 10.21 to the Current Report on Form 8-K filed on September 25,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2">
              <w:r>
                <w:rPr>
                  <w:rStyle w:val="InternetLink"/>
                  <w:rFonts w:ascii="Times New Roman" w:hAnsi="Times New Roman"/>
                  <w:color w:val="0000FF"/>
                  <w:sz w:val="20"/>
                  <w:u w:val="single"/>
                </w:rPr>
                <w:t>Form of Registration Rights Agreement, by and between Banzai International, Inc. and Alco Investment Company (incorporated by reference to the Exhibit 10.20 to the Current Report on Form 8-K filed on September 25,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3">
              <w:r>
                <w:rPr>
                  <w:rStyle w:val="InternetLink"/>
                  <w:rFonts w:ascii="Times New Roman" w:hAnsi="Times New Roman"/>
                  <w:color w:val="0000FF"/>
                  <w:sz w:val="20"/>
                  <w:u w:val="single"/>
                </w:rPr>
                <w:t>Securities Purchase Agreement, dated as of September 23, 2024, by and between Banzai International, Inc. and CP BF Lending, LLC (incorporated by reference to the Exhibit 10.17 to the Current Report on Form 8-K filed on September 25,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4">
              <w:r>
                <w:rPr>
                  <w:rStyle w:val="InternetLink"/>
                  <w:rFonts w:ascii="Times New Roman" w:hAnsi="Times New Roman"/>
                  <w:color w:val="0000FF"/>
                  <w:sz w:val="20"/>
                  <w:u w:val="single"/>
                </w:rPr>
                <w:t>Lock-up Agreement, dated as of September 23, 2024, by and between Banzai International, Inc. and CP BF Lending, LLC (incorporated by reference to the Exhibit 10.25 to the Current Report on Form 8-K filed on September 25, 2024)</w:t>
              </w:r>
            </w:hyperlink>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5">
              <w:r>
                <w:rPr>
                  <w:rStyle w:val="InternetLink"/>
                  <w:rFonts w:ascii="Times New Roman" w:hAnsi="Times New Roman"/>
                  <w:color w:val="0000FF"/>
                  <w:sz w:val="20"/>
                  <w:u w:val="single"/>
                </w:rPr>
                <w:t>Form of Registration Rights Agreement, by and between Banzai International, Inc. and CP BF Lending, LLC (incorporated by reference to the Exhibit 10.24 to the Current Report on Form 8-K filed on September 25,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6">
              <w:r>
                <w:rPr>
                  <w:rStyle w:val="InternetLink"/>
                  <w:rFonts w:ascii="Times New Roman" w:hAnsi="Times New Roman"/>
                  <w:color w:val="0000FF"/>
                  <w:sz w:val="20"/>
                  <w:u w:val="single"/>
                </w:rPr>
                <w:t>Form of Registration Rights Agreement (incorporated by reference to the Exhibit 10.2 to the Current Report on Form 8-K filed on September 27,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7">
              <w:r>
                <w:rPr>
                  <w:rStyle w:val="InternetLink"/>
                  <w:rFonts w:ascii="Times New Roman" w:hAnsi="Times New Roman"/>
                  <w:color w:val="0000FF"/>
                  <w:sz w:val="20"/>
                  <w:u w:val="single"/>
                </w:rPr>
                <w:t>Securities Purchase Agreement, dated as of September 20, 2024, by and between Banzai International, Inc. and Alco Investment Company (incorporated by reference to the Registration Statement on Form S-1 filed with the SEC on October 16, 2024).</w:t>
              </w:r>
            </w:hyperlink>
            <w:hyperlink r:id="rId78">
              <w:r>
                <w:rPr>
                  <w:rStyle w:val="InternetLink"/>
                  <w:rFonts w:ascii="Times New Roman" w:hAnsi="Times New Roman"/>
                  <w:color w:val="0000FF"/>
                  <w:sz w:val="20"/>
                </w:rPr>
                <w:t xml:space="preserve"> </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9">
              <w:r>
                <w:rPr>
                  <w:rStyle w:val="InternetLink"/>
                  <w:rFonts w:ascii="Times New Roman" w:hAnsi="Times New Roman"/>
                  <w:color w:val="0000FF"/>
                  <w:sz w:val="20"/>
                  <w:u w:val="single"/>
                </w:rPr>
                <w:t>Repayment Agreement with Perkins Coie, LLP (incorporated by reference to the Registration Statement on Form S-1 filed with the SEC on October 16,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0">
              <w:r>
                <w:rPr>
                  <w:rStyle w:val="InternetLink"/>
                  <w:rFonts w:ascii="Times New Roman" w:hAnsi="Times New Roman"/>
                  <w:color w:val="0000FF"/>
                  <w:sz w:val="20"/>
                  <w:u w:val="single"/>
                </w:rPr>
                <w:t>Amended and Restated Repayment Agreement with J.V.B Financial Group, LLC (incorporated by reference to the Registration Statement on Form S-1 filed with the SEC on October 16, 2024).</w:t>
              </w:r>
            </w:hyperlink>
            <w:hyperlink r:id="rId81">
              <w:r>
                <w:rPr>
                  <w:rStyle w:val="InternetLink"/>
                  <w:rFonts w:ascii="Times New Roman" w:hAnsi="Times New Roman"/>
                  <w:color w:val="0000FF"/>
                  <w:sz w:val="20"/>
                </w:rPr>
                <w:t xml:space="preserve"> </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2">
              <w:r>
                <w:rPr>
                  <w:rStyle w:val="InternetLink"/>
                  <w:rFonts w:ascii="Times New Roman" w:hAnsi="Times New Roman"/>
                  <w:color w:val="0000FF"/>
                  <w:sz w:val="20"/>
                  <w:u w:val="single"/>
                </w:rPr>
                <w:t>Investor Relations Consulting Agreement with MZHCI, LLC (incorporated by reference to the Registration Statement on Form S-1 filed with the SEC on October 16, 2024).</w:t>
              </w:r>
            </w:hyperlink>
            <w:hyperlink r:id="rId83">
              <w:r>
                <w:rPr>
                  <w:rStyle w:val="InternetLink"/>
                  <w:rFonts w:ascii="Times New Roman" w:hAnsi="Times New Roman"/>
                  <w:color w:val="0000FF"/>
                  <w:sz w:val="20"/>
                </w:rPr>
                <w:t xml:space="preserve"> </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4">
              <w:r>
                <w:rPr>
                  <w:rStyle w:val="InternetLink"/>
                  <w:rFonts w:ascii="Times New Roman" w:hAnsi="Times New Roman"/>
                  <w:color w:val="0000FF"/>
                  <w:sz w:val="20"/>
                  <w:u w:val="single"/>
                </w:rPr>
                <w:t>Side Letter to the Loan Agreement with CP BF Lending, LLC (incorporated by reference to the Exhibit 10.6 to the Current Report on Form 8-K filed on September 25,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5">
              <w:r>
                <w:rPr>
                  <w:rStyle w:val="InternetLink"/>
                  <w:rFonts w:ascii="Times New Roman" w:hAnsi="Times New Roman"/>
                  <w:color w:val="0000FF"/>
                  <w:sz w:val="20"/>
                  <w:u w:val="single"/>
                </w:rPr>
                <w:t>Floor Price Adjustment Agreement with Yorkville Advisors (incorporated by reference to the Registration Statement on Form S-1 filed with the SEC on October 16, 2024).</w:t>
              </w:r>
            </w:hyperlink>
            <w:r>
              <w:rPr>
                <w:rFonts w:ascii="Times New Roman" w:hAnsi="Times New Roman"/>
                <w:color w:val="0000FF"/>
                <w:sz w:val="20"/>
              </w:rPr>
              <w:t xml:space="preserve">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6">
              <w:r>
                <w:rPr>
                  <w:rStyle w:val="InternetLink"/>
                  <w:rFonts w:ascii="Times New Roman" w:hAnsi="Times New Roman"/>
                  <w:color w:val="0000FF"/>
                  <w:sz w:val="20"/>
                  <w:u w:val="single"/>
                </w:rPr>
                <w:t>Repayment Agreement with Cooley LLP (incorporated by reference to the Registration Statement on Form S-1 filed with the SEC on October 16,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7">
              <w:r>
                <w:rPr>
                  <w:rStyle w:val="InternetLink"/>
                  <w:rFonts w:ascii="Times New Roman" w:hAnsi="Times New Roman"/>
                  <w:color w:val="0000FF"/>
                  <w:sz w:val="20"/>
                  <w:u w:val="single"/>
                </w:rPr>
                <w:t>Settlement Letter with CohnReznick LLP (incorporated by reference to the Registration Statement on Form S-1 filed with the SEC on October 16,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8">
              <w:r>
                <w:rPr>
                  <w:rStyle w:val="InternetLink"/>
                  <w:rFonts w:ascii="Times New Roman" w:hAnsi="Times New Roman"/>
                  <w:color w:val="0000FF"/>
                  <w:sz w:val="20"/>
                  <w:u w:val="single"/>
                </w:rPr>
                <w:t>Repayment Agreement with Sidley Austin LLP (incorporated by reference to the Registration Statement on Form S-1 filed with the SEC on October 16, 2024).</w:t>
              </w:r>
            </w:hyperlink>
            <w:hyperlink r:id="rId89">
              <w:r>
                <w:rPr>
                  <w:rStyle w:val="InternetLink"/>
                  <w:rFonts w:ascii="Times New Roman" w:hAnsi="Times New Roman"/>
                  <w:color w:val="0000FF"/>
                  <w:sz w:val="20"/>
                </w:rPr>
                <w:t xml:space="preserve"> </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0">
              <w:r>
                <w:rPr>
                  <w:rStyle w:val="InternetLink"/>
                  <w:rFonts w:ascii="Times New Roman" w:hAnsi="Times New Roman"/>
                  <w:color w:val="0000FF"/>
                  <w:sz w:val="20"/>
                  <w:u w:val="single"/>
                </w:rPr>
                <w:t>Repayment Agreement with Donnelley Financial LLC (incorporated by reference to the Registration Statement on Form S-1 filed with the SEC on October 16, 2024).</w:t>
              </w:r>
            </w:hyperlink>
            <w:hyperlink r:id="rId91">
              <w:r>
                <w:rPr>
                  <w:rStyle w:val="InternetLink"/>
                  <w:rFonts w:ascii="Times New Roman" w:hAnsi="Times New Roman"/>
                  <w:color w:val="0000FF"/>
                  <w:sz w:val="20"/>
                </w:rPr>
                <w:t xml:space="preserve"> </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2">
              <w:r>
                <w:rPr>
                  <w:rStyle w:val="InternetLink"/>
                  <w:rFonts w:ascii="Times New Roman" w:hAnsi="Times New Roman"/>
                  <w:color w:val="0000FF"/>
                  <w:sz w:val="20"/>
                  <w:u w:val="single"/>
                </w:rPr>
                <w:t>Repayment Agreement with Verista Partners, Inc. (incorporated by reference to the Registration Statement on Form S-1 filed with the SEC on October 16, 2024).</w:t>
              </w:r>
            </w:hyperlink>
            <w:hyperlink r:id="rId93">
              <w:r>
                <w:rPr>
                  <w:rStyle w:val="InternetLink"/>
                  <w:rFonts w:ascii="Times New Roman" w:hAnsi="Times New Roman"/>
                  <w:color w:val="0000FF"/>
                  <w:sz w:val="20"/>
                </w:rPr>
                <w:t xml:space="preserve"> </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4">
              <w:r>
                <w:rPr>
                  <w:rStyle w:val="InternetLink"/>
                  <w:rFonts w:ascii="Times New Roman" w:hAnsi="Times New Roman"/>
                  <w:color w:val="0000FF"/>
                  <w:sz w:val="20"/>
                  <w:u w:val="single"/>
                </w:rPr>
                <w:t>Consulting Agreement dated as of September 26, 2024 by and between the Company and Hudson Global Ventures, LLC (incorporated by reference to the Registration Statement on Form S-1 filed with the SEC on October 16,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5">
              <w:r>
                <w:rPr>
                  <w:rStyle w:val="InternetLink"/>
                  <w:rFonts w:ascii="Times New Roman" w:hAnsi="Times New Roman"/>
                  <w:color w:val="0000FF"/>
                  <w:sz w:val="20"/>
                  <w:u w:val="single"/>
                </w:rPr>
                <w:t>Form of Registration Rights Agreement (incorporated by reference to Exhibit 10.1 to the Current Report on Form 8-K filed on December 10,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6">
              <w:r>
                <w:rPr>
                  <w:rStyle w:val="InternetLink"/>
                  <w:rFonts w:ascii="Times New Roman" w:hAnsi="Times New Roman"/>
                  <w:color w:val="0000FF"/>
                  <w:sz w:val="20"/>
                  <w:u w:val="single"/>
                </w:rPr>
                <w:t>Form of Pre-Funded Warrant (incorporated by reference to Exhibit 10.2 to the Current Report on Form 8-K filed on December 10,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7">
              <w:r>
                <w:rPr>
                  <w:rStyle w:val="InternetLink"/>
                  <w:rFonts w:ascii="Times New Roman" w:hAnsi="Times New Roman"/>
                  <w:color w:val="0000FF"/>
                  <w:sz w:val="20"/>
                  <w:u w:val="single"/>
                </w:rPr>
                <w:t>Form of Subscription Booklet (incorporated by reference to the Current Report on Form 8-K filed on January 23,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8">
              <w:r>
                <w:rPr>
                  <w:rStyle w:val="InternetLink"/>
                  <w:rFonts w:ascii="Times New Roman" w:hAnsi="Times New Roman"/>
                  <w:color w:val="0000FF"/>
                  <w:sz w:val="20"/>
                  <w:u w:val="single"/>
                </w:rPr>
                <w:t>Form of Pre-Funded Warrant (incorporated by reference to the Current Report on Form 8-K filed on January 23,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9">
              <w:r>
                <w:rPr>
                  <w:rStyle w:val="InternetLink"/>
                  <w:rFonts w:ascii="Times New Roman" w:hAnsi="Times New Roman"/>
                  <w:color w:val="0000FF"/>
                  <w:sz w:val="20"/>
                  <w:u w:val="single"/>
                </w:rPr>
                <w:t>Voting and Support Agreement, dated January 22, 2025 by and between Banzai International, Inc and Joseph Davy (incorporated by reference to the Current Report on Form 8-K filed on January 23,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0">
              <w:r>
                <w:rPr>
                  <w:rStyle w:val="InternetLink"/>
                  <w:rFonts w:ascii="Times New Roman" w:hAnsi="Times New Roman"/>
                  <w:color w:val="0000FF"/>
                  <w:sz w:val="20"/>
                  <w:u w:val="single"/>
                </w:rPr>
                <w:t>Form of Share Consideration Escrow Agreement (incorporated by reference to Exhibit 10.4 to the Current Report on Form 8-K filed on January 23,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1">
              <w:r>
                <w:rPr>
                  <w:rStyle w:val="InternetLink"/>
                  <w:rFonts w:ascii="Times New Roman" w:hAnsi="Times New Roman"/>
                  <w:color w:val="0000FF"/>
                  <w:sz w:val="20"/>
                  <w:u w:val="single"/>
                </w:rPr>
                <w:t>Form of Registration Rights Agreement (incorporated by reference to Exhibit 10.5 to the Current Report on Form 8-K filed on January 23,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2">
              <w:r>
                <w:rPr>
                  <w:rStyle w:val="InternetLink"/>
                  <w:rFonts w:ascii="Times New Roman" w:hAnsi="Times New Roman"/>
                  <w:color w:val="0000FF"/>
                  <w:sz w:val="20"/>
                  <w:u w:val="single"/>
                </w:rPr>
                <w:t>Voting and Support Agreement, dated December 10, 2024, by and between Joseph P. Davy and Banzai International Inc. (incorporated by reference to Exhibit 10.3 to the Current Report on Form 8-K filed on December 10,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3">
              <w:r>
                <w:rPr>
                  <w:rStyle w:val="InternetLink"/>
                  <w:rFonts w:ascii="Times New Roman" w:hAnsi="Times New Roman"/>
                  <w:color w:val="0000FF"/>
                  <w:sz w:val="20"/>
                  <w:u w:val="single"/>
                </w:rPr>
                <w:t>Form of Lock-Up Agreement (incorporated by reference to exhibit 10.1 to the Current Report on Form 8-K filed on December 20, 2024)</w:t>
              </w:r>
            </w:hyperlink>
            <w:r>
              <w:rPr>
                <w:rFonts w:ascii="Times New Roman" w:hAnsi="Times New Roman"/>
                <w:color w:val="0000FF"/>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4">
              <w:r>
                <w:rPr>
                  <w:rStyle w:val="InternetLink"/>
                  <w:rFonts w:ascii="Times New Roman" w:hAnsi="Times New Roman"/>
                  <w:color w:val="0000FF"/>
                  <w:sz w:val="20"/>
                  <w:u w:val="single"/>
                </w:rPr>
                <w:t>Form of Pre-Funded Warrant (incorporated by reference to exhibit 10.2 to the Current Report on Form 8-K filed on December 20, 2024).</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6"/>
        <w:gridCol w:w="146"/>
        <w:gridCol w:w="9183"/>
      </w:tblGrid>
      <w:tr>
        <w:trPr/>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3" w:type="dxa"/>
            <w:tcBorders/>
            <w:vAlign w:val="center"/>
          </w:tcPr>
          <w:p>
            <w:pPr>
              <w:pStyle w:val="TableContents"/>
              <w:bidi w:val="0"/>
              <w:spacing w:before="0" w:after="283"/>
              <w:jc w:val="left"/>
              <w:rPr>
                <w:sz w:val="4"/>
                <w:szCs w:val="4"/>
              </w:rPr>
            </w:pPr>
            <w:r>
              <w:rPr>
                <w:sz w:val="4"/>
                <w:szCs w:val="4"/>
              </w:rPr>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5">
              <w:r>
                <w:rPr>
                  <w:rStyle w:val="InternetLink"/>
                  <w:rFonts w:ascii="Times New Roman" w:hAnsi="Times New Roman"/>
                  <w:color w:val="0000FF"/>
                  <w:sz w:val="20"/>
                  <w:u w:val="single"/>
                </w:rPr>
                <w:t>Voting and Support Agreement, dated December 19, 2024, by and between Banzai International Inc., and Joseph P. Davy (incorporated by reference to exhibit 10.3 to the Current Report on Form 8-K filed on December 20, 2024).</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6">
              <w:r>
                <w:rPr>
                  <w:rStyle w:val="InternetLink"/>
                  <w:rFonts w:ascii="Times New Roman" w:hAnsi="Times New Roman"/>
                  <w:color w:val="0000FF"/>
                  <w:sz w:val="20"/>
                  <w:u w:val="single"/>
                </w:rPr>
                <w:t>Closing Letter Agreement, dated January 24, 2025, by and among Banzai International, Inc., Vidello Limited and certain shareholders of Vidello Limited (incorporated by reference to exhibit 10.3 to the Current Report on Form 8-K filed on January 31, 2025).</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7">
              <w:r>
                <w:rPr>
                  <w:rStyle w:val="InternetLink"/>
                  <w:rFonts w:ascii="Times New Roman" w:hAnsi="Times New Roman"/>
                  <w:color w:val="0000FF"/>
                  <w:sz w:val="20"/>
                  <w:u w:val="single"/>
                </w:rPr>
                <w:t>Form of Securities Purchase Agreement (incorporated by reference to the Current Report on Form 8-K filed on July 3, 2025).</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8">
              <w:r>
                <w:rPr>
                  <w:rStyle w:val="InternetLink"/>
                  <w:rFonts w:ascii="Times New Roman" w:hAnsi="Times New Roman"/>
                  <w:color w:val="0000FF"/>
                  <w:sz w:val="20"/>
                  <w:u w:val="single"/>
                </w:rPr>
                <w:t>Form of Registration Rights Purchase Agreement (incorporated by reference to the Current Report on Form 8-K filed on July 3, 2025).</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9">
              <w:r>
                <w:rPr>
                  <w:rStyle w:val="InternetLink"/>
                  <w:rFonts w:ascii="Times New Roman" w:hAnsi="Times New Roman"/>
                  <w:color w:val="0000FF"/>
                  <w:sz w:val="20"/>
                  <w:u w:val="single"/>
                </w:rPr>
                <w:t>Form of Leak-Out Agreement (incorporated by reference to the Current Report on Form 8-K filed on July 3, 2025).</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z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z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z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z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3"/>
        <w:gridCol w:w="9802"/>
      </w:tblGrid>
      <w:tr>
        <w:trPr/>
        <w:tc>
          <w:tcPr>
            <w:tcW w:w="403" w:type="dxa"/>
            <w:tcBorders/>
            <w:vAlign w:val="center"/>
          </w:tcPr>
          <w:p>
            <w:pPr>
              <w:pStyle w:val="TableContents"/>
              <w:bidi w:val="0"/>
              <w:spacing w:before="0" w:after="283"/>
              <w:jc w:val="left"/>
              <w:rPr>
                <w:sz w:val="4"/>
                <w:szCs w:val="4"/>
              </w:rPr>
            </w:pPr>
            <w:r>
              <w:rPr>
                <w:sz w:val="4"/>
                <w:szCs w:val="4"/>
              </w:rPr>
            </w:r>
          </w:p>
        </w:tc>
        <w:tc>
          <w:tcPr>
            <w:tcW w:w="9802" w:type="dxa"/>
            <w:tcBorders/>
            <w:vAlign w:val="center"/>
          </w:tcPr>
          <w:p>
            <w:pPr>
              <w:pStyle w:val="TableContents"/>
              <w:bidi w:val="0"/>
              <w:spacing w:before="0" w:after="283"/>
              <w:jc w:val="left"/>
              <w:rPr>
                <w:sz w:val="4"/>
                <w:szCs w:val="4"/>
              </w:rPr>
            </w:pPr>
            <w:r>
              <w:rPr>
                <w:sz w:val="4"/>
                <w:szCs w:val="4"/>
              </w:rPr>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management contract or compensatory plan or arrangement.</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schedules and exhibits to this agreement have been omitted pursuant to Item 601(b)(2) of Regulation S-K. A copy of any omitted schedule and/or exhibit will be furnished to the SEC upon request.</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XBRL Instance Document and Cover Page Interactive Data File do not appear in the Interactive Data File because their XBRL tags are embedded within the Inline XBRL document.</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Submitted electronically herewith.</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s"/>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Securities Exchange Act of 1934, the registrant has duly caused this report to be signed on its behalf by the undersigned, thereunto duly authorized, on August 14, 2025.</w:t>
      </w:r>
    </w:p>
    <w:p>
      <w:pPr>
        <w:pStyle w:val="TextBody"/>
        <w:bidi w:val="0"/>
        <w:jc w:val="left"/>
        <w:rPr/>
      </w:pPr>
      <w:r>
        <w:rPr/>
        <w:t> </w:t>
      </w:r>
    </w:p>
    <w:tbl>
      <w:tblPr>
        <w:tblW w:w="5022" w:type="dxa"/>
        <w:jc w:val="left"/>
        <w:tblInd w:w="0" w:type="dxa"/>
        <w:tblLayout w:type="fixed"/>
        <w:tblCellMar>
          <w:top w:w="28" w:type="dxa"/>
          <w:left w:w="28" w:type="dxa"/>
          <w:bottom w:w="28" w:type="dxa"/>
          <w:right w:w="28" w:type="dxa"/>
        </w:tblCellMar>
      </w:tblPr>
      <w:tblGrid>
        <w:gridCol w:w="1951"/>
        <w:gridCol w:w="146"/>
        <w:gridCol w:w="468"/>
        <w:gridCol w:w="2457"/>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BANZAI INTERNATIONAL,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bookmarkStart w:id="20" w:name="bnzi-ex31_1.htm"/>
      <w:bookmarkStart w:id="21" w:name="ksbnziex31_1"/>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Joseph Davy,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 ended June 30, 2025 of Banzai International,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thse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bnzi-ex31_2.htm"/>
      <w:bookmarkStart w:id="23" w:name="ksbnziex31_2"/>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Dean Ditto,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 ended June 30, 2025 of Banzai International,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612" w:type="dxa"/>
        <w:jc w:val="left"/>
        <w:tblInd w:w="0" w:type="dxa"/>
        <w:tblLayout w:type="fixed"/>
        <w:tblCellMar>
          <w:top w:w="28" w:type="dxa"/>
          <w:left w:w="28" w:type="dxa"/>
          <w:bottom w:w="28" w:type="dxa"/>
          <w:right w:w="28" w:type="dxa"/>
        </w:tblCellMar>
      </w:tblPr>
      <w:tblGrid>
        <w:gridCol w:w="1951"/>
        <w:gridCol w:w="109"/>
        <w:gridCol w:w="406"/>
        <w:gridCol w:w="214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bnzi-ex32_1.htm"/>
      <w:bookmarkStart w:id="25" w:name="ksbnziex32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of Banzai International, Inc. (the “Company”) for the quarter ended June 30, 2025, as filed with the Securities and Exchange Commission on or about the date hereof (the “Report”), I, Joseph Davy, Chief Executive Officer of the Company, certify, pursuant to 18 U.S.C. Section 1350, as adopted pursuant to Section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bnzi-ex32_2.htm"/>
      <w:bookmarkStart w:id="27" w:name="ksbnziex32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of Banzai International, Inc. (the “Company”) for the quarter ended June 30, 2025, as filed with the Securities and Exchange Commission on or about the date hereof (the “Report”), I, Dean Ditto, Chief Financial Officer of the Company, certify, pursuant to 18 U.S.C. Section 1350, as adopted pursuant to Section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951"/>
        <w:gridCol w:w="109"/>
        <w:gridCol w:w="406"/>
        <w:gridCol w:w="214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011/000149315224049374/ex2-1.htm" TargetMode="External"/><Relationship Id="rId3" Type="http://schemas.openxmlformats.org/officeDocument/2006/relationships/hyperlink" Target="https://www.sec.gov/Archives/edgar/data/1826011/000149315224050891/ex2-1.htm" TargetMode="External"/><Relationship Id="rId4" Type="http://schemas.openxmlformats.org/officeDocument/2006/relationships/hyperlink" Target="https://www.sec.gov/Archives/edgar/data/1826011/000149315225003319/ex2-1.htm" TargetMode="External"/><Relationship Id="rId5" Type="http://schemas.openxmlformats.org/officeDocument/2006/relationships/hyperlink" Target="https://www.sec.gov/Archives/edgar/data/1826011/000119312523300033/d449527dex31.htm" TargetMode="External"/><Relationship Id="rId6" Type="http://schemas.openxmlformats.org/officeDocument/2006/relationships/hyperlink" Target="https://www.sec.gov/Archives/edgar/data/1826011/000119312523300033/d449527dex31.htm" TargetMode="External"/><Relationship Id="rId7" Type="http://schemas.openxmlformats.org/officeDocument/2006/relationships/hyperlink" Target="https://www.sec.gov/Archives/edgar/data/1826011/000119312523300033/d449527dex32.htm" TargetMode="External"/><Relationship Id="rId8" Type="http://schemas.openxmlformats.org/officeDocument/2006/relationships/hyperlink" Target="https://www.sec.gov/Archives/edgar/data/1826011/000119312523300033/d449527dex32.htm" TargetMode="External"/><Relationship Id="rId9" Type="http://schemas.openxmlformats.org/officeDocument/2006/relationships/hyperlink" Target="https://www.sec.gov/Archives/edgar/data/1826011/000149315225009079/ex3-2.htm" TargetMode="External"/><Relationship Id="rId10" Type="http://schemas.openxmlformats.org/officeDocument/2006/relationships/hyperlink" Target="https://www.sec.gov/Archives/edgar/data/1826011/000149315224036413/ex3-1.htm" TargetMode="External"/><Relationship Id="rId11" Type="http://schemas.openxmlformats.org/officeDocument/2006/relationships/hyperlink" Target="https://www.sec.gov/Archives/edgar/data/1826011/000149315225009079/ex3-1.htm" TargetMode="External"/><Relationship Id="rId12" Type="http://schemas.openxmlformats.org/officeDocument/2006/relationships/hyperlink" Target="https://www.sec.gov/Archives/edgar/data/1826011/000164117225016949/ex3-1.htm" TargetMode="External"/><Relationship Id="rId13" Type="http://schemas.openxmlformats.org/officeDocument/2006/relationships/hyperlink" Target="https://www.sec.gov/Archives/edgar/data/1826011/000119312523300033/d449527dex41.htm" TargetMode="External"/><Relationship Id="rId14" Type="http://schemas.openxmlformats.org/officeDocument/2006/relationships/hyperlink" Target="https://www.sec.gov/Archives/edgar/data/1826011/000119312523300033/d449527dex41.htm" TargetMode="External"/><Relationship Id="rId15" Type="http://schemas.openxmlformats.org/officeDocument/2006/relationships/hyperlink" Target="https://www.sec.gov/Archives/edgar/data/1826011/000119312523300033/d449527dex42.htm" TargetMode="External"/><Relationship Id="rId16" Type="http://schemas.openxmlformats.org/officeDocument/2006/relationships/hyperlink" Target="https://www.sec.gov/Archives/edgar/data/1826011/000119312523300033/d449527dex42.htm" TargetMode="External"/><Relationship Id="rId17" Type="http://schemas.openxmlformats.org/officeDocument/2006/relationships/hyperlink" Target="https://www.sec.gov/Archives/edgar/data/1826011/000119312523300033/d449527dex43.htm" TargetMode="External"/><Relationship Id="rId18" Type="http://schemas.openxmlformats.org/officeDocument/2006/relationships/hyperlink" Target="https://www.sec.gov/Archives/edgar/data/1826011/000119312523300033/d449527dex43.htm" TargetMode="External"/><Relationship Id="rId19" Type="http://schemas.openxmlformats.org/officeDocument/2006/relationships/hyperlink" Target="https://www.sec.gov/Archives/edgar/data/1826011/000121390020044825/ea132294ex4-1_7gcholdings.htm" TargetMode="External"/><Relationship Id="rId20" Type="http://schemas.openxmlformats.org/officeDocument/2006/relationships/hyperlink" Target="https://www.sec.gov/Archives/edgar/data/1826011/000121390020044825/ea132294ex4-1_7gcholdings.htm" TargetMode="External"/><Relationship Id="rId21" Type="http://schemas.openxmlformats.org/officeDocument/2006/relationships/hyperlink" Target="https://www.sec.gov/Archives/edgar/data/1826011/000119312523225201/d441541dex47.htm" TargetMode="External"/><Relationship Id="rId22" Type="http://schemas.openxmlformats.org/officeDocument/2006/relationships/hyperlink" Target="https://www.sec.gov/Archives/edgar/data/1826011/000119312523225201/d441541dex47.htm" TargetMode="External"/><Relationship Id="rId23" Type="http://schemas.openxmlformats.org/officeDocument/2006/relationships/hyperlink" Target="https://www.sec.gov/Archives/edgar/data/1826011/000119312523300033/d449527dex45.htm" TargetMode="External"/><Relationship Id="rId24" Type="http://schemas.openxmlformats.org/officeDocument/2006/relationships/hyperlink" Target="https://www.sec.gov/Archives/edgar/data/1826011/000119312523300033/d449527dex45.htm" TargetMode="External"/><Relationship Id="rId25" Type="http://schemas.openxmlformats.org/officeDocument/2006/relationships/hyperlink" Target="https://www.sec.gov/Archives/edgar/data/1826011/000119312523300033/d449527dex47.htm" TargetMode="External"/><Relationship Id="rId26" Type="http://schemas.openxmlformats.org/officeDocument/2006/relationships/hyperlink" Target="https://www.sec.gov/Archives/edgar/data/1826011/000119312523300033/d449527dex47.htm" TargetMode="External"/><Relationship Id="rId27" Type="http://schemas.openxmlformats.org/officeDocument/2006/relationships/hyperlink" Target="https://www.sec.gov/Archives/edgar/data/1826011/000119312523297160/d564833dex102.htm" TargetMode="External"/><Relationship Id="rId28" Type="http://schemas.openxmlformats.org/officeDocument/2006/relationships/hyperlink" Target="https://www.sec.gov/Archives/edgar/data/1826011/000119312524023808/d567008dex411.htm" TargetMode="External"/><Relationship Id="rId29" Type="http://schemas.openxmlformats.org/officeDocument/2006/relationships/hyperlink" Target="https://www.sec.gov/Archives/edgar/data/1826011/000119312524023808/d567008dex411.htm" TargetMode="External"/><Relationship Id="rId30" Type="http://schemas.openxmlformats.org/officeDocument/2006/relationships/hyperlink" Target="https://www.sec.gov/Archives/edgar/data/1826011/000095017025054303/bnzi-ex4_10.htm" TargetMode="External"/><Relationship Id="rId31" Type="http://schemas.openxmlformats.org/officeDocument/2006/relationships/hyperlink" Target="https://www.sec.gov/Archives/edgar/data/1826011/000149315224050696/ex3-1.htm" TargetMode="External"/><Relationship Id="rId32" Type="http://schemas.openxmlformats.org/officeDocument/2006/relationships/hyperlink" Target="https://www.sec.gov/Archives/edgar/data/1826011/000164117225017861/ex4-1.htm" TargetMode="External"/><Relationship Id="rId33" Type="http://schemas.openxmlformats.org/officeDocument/2006/relationships/hyperlink" Target="https://www.sec.gov/Archives/edgar/data/1826011/000164117225017861/ex4-2.htm" TargetMode="External"/><Relationship Id="rId34" Type="http://schemas.openxmlformats.org/officeDocument/2006/relationships/hyperlink" Target="https://www.sec.gov/Archives/edgar/data/1826011/000121390020044825/ea132294ex10-1_7gcholdings.htm" TargetMode="External"/><Relationship Id="rId35" Type="http://schemas.openxmlformats.org/officeDocument/2006/relationships/hyperlink" Target="https://www.sec.gov/Archives/edgar/data/1826011/000121390020044825/ea132294ex10-1_7gcholdings.htm" TargetMode="External"/><Relationship Id="rId36" Type="http://schemas.openxmlformats.org/officeDocument/2006/relationships/hyperlink" Target="https://www.sec.gov/Archives/edgar/data/1826011/000121390020044825/ea132294ex10-5_7gcholdings.htm" TargetMode="External"/><Relationship Id="rId37" Type="http://schemas.openxmlformats.org/officeDocument/2006/relationships/hyperlink" Target="https://www.sec.gov/Archives/edgar/data/1826011/000121390020044825/ea132294ex10-5_7gcholdings.htm" TargetMode="External"/><Relationship Id="rId38" Type="http://schemas.openxmlformats.org/officeDocument/2006/relationships/hyperlink" Target="https://www.sec.gov/Archives/edgar/data/1826011/000119312523300033/d449527dex106.htm" TargetMode="External"/><Relationship Id="rId39" Type="http://schemas.openxmlformats.org/officeDocument/2006/relationships/hyperlink" Target="https://www.sec.gov/Archives/edgar/data/1826011/000119312523300033/d449527dex106.htm" TargetMode="External"/><Relationship Id="rId40" Type="http://schemas.openxmlformats.org/officeDocument/2006/relationships/hyperlink" Target="https://www.sec.gov/Archives/edgar/data/1826011/000119312524076619/d810637dex991.htm" TargetMode="External"/><Relationship Id="rId41" Type="http://schemas.openxmlformats.org/officeDocument/2006/relationships/hyperlink" Target="https://www.sec.gov/Archives/edgar/data/1826011/000119312524076619/d810637dex991.htm" TargetMode="External"/><Relationship Id="rId42" Type="http://schemas.openxmlformats.org/officeDocument/2006/relationships/hyperlink" Target="https://www.sec.gov/Archives/edgar/data/1826011/000119312524076619/d810637dex992.htm" TargetMode="External"/><Relationship Id="rId43" Type="http://schemas.openxmlformats.org/officeDocument/2006/relationships/hyperlink" Target="https://www.sec.gov/Archives/edgar/data/1826011/000119312524076619/d810637dex992.htm" TargetMode="External"/><Relationship Id="rId44" Type="http://schemas.openxmlformats.org/officeDocument/2006/relationships/hyperlink" Target="https://www.sec.gov/Archives/edgar/data/1826011/000119312523225201/d441541dex1016.htm" TargetMode="External"/><Relationship Id="rId45" Type="http://schemas.openxmlformats.org/officeDocument/2006/relationships/hyperlink" Target="https://www.sec.gov/Archives/edgar/data/1826011/000119312523225201/d441541dex1016.htm" TargetMode="External"/><Relationship Id="rId46" Type="http://schemas.openxmlformats.org/officeDocument/2006/relationships/hyperlink" Target="https://www.sec.gov/Archives/edgar/data/1826011/000119312523225201/d441541dex1018.htm" TargetMode="External"/><Relationship Id="rId47" Type="http://schemas.openxmlformats.org/officeDocument/2006/relationships/hyperlink" Target="https://www.sec.gov/Archives/edgar/data/1826011/000119312523250809/d548057dex101.htm" TargetMode="External"/><Relationship Id="rId48" Type="http://schemas.openxmlformats.org/officeDocument/2006/relationships/hyperlink" Target="https://www.sec.gov/Archives/edgar/data/1826011/000119312523250809/d548057dex101.htm" TargetMode="External"/><Relationship Id="rId49" Type="http://schemas.openxmlformats.org/officeDocument/2006/relationships/hyperlink" Target="https://www.sec.gov/Archives/edgar/data/1826011/000119312523297160/d564833dex101.htm" TargetMode="External"/><Relationship Id="rId50" Type="http://schemas.openxmlformats.org/officeDocument/2006/relationships/hyperlink" Target="https://www.sec.gov/Archives/edgar/data/1826011/000119312523297160/d564833dex101.htm" TargetMode="External"/><Relationship Id="rId51" Type="http://schemas.openxmlformats.org/officeDocument/2006/relationships/hyperlink" Target="https://www.sec.gov/Archives/edgar/data/1826011/000119312523297160/d564833dex103.htm" TargetMode="External"/><Relationship Id="rId52" Type="http://schemas.openxmlformats.org/officeDocument/2006/relationships/hyperlink" Target="https://www.sec.gov/Archives/edgar/data/1826011/000119312523297160/d564833dex103.htm" TargetMode="External"/><Relationship Id="rId53" Type="http://schemas.openxmlformats.org/officeDocument/2006/relationships/hyperlink" Target="https://www.sec.gov/Archives/edgar/data/1826011/000119312523300033/d449527dex105.htm" TargetMode="External"/><Relationship Id="rId54" Type="http://schemas.openxmlformats.org/officeDocument/2006/relationships/hyperlink" Target="https://www.sec.gov/Archives/edgar/data/1826011/000119312523300033/d449527dex105.htm" TargetMode="External"/><Relationship Id="rId55" Type="http://schemas.openxmlformats.org/officeDocument/2006/relationships/hyperlink" Target="https://www.sec.gov/Archives/edgar/data/1826011/000119312523300033/d449527dex108.htm" TargetMode="External"/><Relationship Id="rId56" Type="http://schemas.openxmlformats.org/officeDocument/2006/relationships/hyperlink" Target="https://www.sec.gov/Archives/edgar/data/1826011/000119312523300033/d449527dex108.htm" TargetMode="External"/><Relationship Id="rId57" Type="http://schemas.openxmlformats.org/officeDocument/2006/relationships/hyperlink" Target="https://www.sec.gov/Archives/edgar/data/1826011/000119312524023808/d567008dex1026.htm" TargetMode="External"/><Relationship Id="rId58" Type="http://schemas.openxmlformats.org/officeDocument/2006/relationships/hyperlink" Target="https://www.sec.gov/Archives/edgar/data/1826011/000119312524023808/d567008dex1026.htm" TargetMode="External"/><Relationship Id="rId59" Type="http://schemas.openxmlformats.org/officeDocument/2006/relationships/hyperlink" Target="https://www.sec.gov/Archives/edgar/data/1826011/000119312524023808/d567008dex1027.htm" TargetMode="External"/><Relationship Id="rId60" Type="http://schemas.openxmlformats.org/officeDocument/2006/relationships/hyperlink" Target="https://www.sec.gov/Archives/edgar/data/1826011/000119312524023808/d567008dex1027.htm" TargetMode="External"/><Relationship Id="rId61" Type="http://schemas.openxmlformats.org/officeDocument/2006/relationships/hyperlink" Target="https://www.sec.gov/Archives/edgar/data/1826011/000119312524028341/d744391dex104.htm" TargetMode="External"/><Relationship Id="rId62" Type="http://schemas.openxmlformats.org/officeDocument/2006/relationships/hyperlink" Target="https://www.sec.gov/Archives/edgar/data/1826011/000119312524023808/d567008dex1029.htm" TargetMode="External"/><Relationship Id="rId63" Type="http://schemas.openxmlformats.org/officeDocument/2006/relationships/hyperlink" Target="https://www.sec.gov/Archives/edgar/data/1826011/000119312524023808/d567008dex1030.htm" TargetMode="External"/><Relationship Id="rId64" Type="http://schemas.openxmlformats.org/officeDocument/2006/relationships/hyperlink" Target="https://www.sec.gov/Archives/edgar/data/1826011/000119312524023808/d567008dex1030.htm" TargetMode="External"/><Relationship Id="rId65" Type="http://schemas.openxmlformats.org/officeDocument/2006/relationships/hyperlink" Target="https://www.sec.gov/Archives/edgar/data/1826011/000149315225004641/ex10-1.htm" TargetMode="External"/><Relationship Id="rId66" Type="http://schemas.openxmlformats.org/officeDocument/2006/relationships/hyperlink" Target="https://www.sec.gov/Archives/edgar/data/1826011/000149315224038577/ex10-19.htm" TargetMode="External"/><Relationship Id="rId67" Type="http://schemas.openxmlformats.org/officeDocument/2006/relationships/hyperlink" Target="https://www.sec.gov/Archives/edgar/data/1826011/000119312524139915/d842344dex992.htm" TargetMode="External"/><Relationship Id="rId68" Type="http://schemas.openxmlformats.org/officeDocument/2006/relationships/hyperlink" Target="https://www.sec.gov/Archives/edgar/data/1826011/000149315224037198/ex4-12.htm" TargetMode="External"/><Relationship Id="rId69" Type="http://schemas.openxmlformats.org/officeDocument/2006/relationships/hyperlink" Target="https://www.sec.gov/Archives/edgar/data/1826011/000119312524148209/d647173dex101.htm" TargetMode="External"/><Relationship Id="rId70" Type="http://schemas.openxmlformats.org/officeDocument/2006/relationships/hyperlink" Target="https://www.sec.gov/Archives/edgar/data/1826011/000149315224038522/ex10-1.htm" TargetMode="External"/><Relationship Id="rId71" Type="http://schemas.openxmlformats.org/officeDocument/2006/relationships/hyperlink" Target="https://www.sec.gov/Archives/edgar/data/1826011/000149315224038146/ex10-21.htm" TargetMode="External"/><Relationship Id="rId72" Type="http://schemas.openxmlformats.org/officeDocument/2006/relationships/hyperlink" Target="https://www.sec.gov/Archives/edgar/data/1826011/000149315224038146/ex10-20.htm" TargetMode="External"/><Relationship Id="rId73" Type="http://schemas.openxmlformats.org/officeDocument/2006/relationships/hyperlink" Target="https://www.sec.gov/Archives/edgar/data/1826011/000149315224038146/ex10-17.htm" TargetMode="External"/><Relationship Id="rId74" Type="http://schemas.openxmlformats.org/officeDocument/2006/relationships/hyperlink" Target="https://www.sec.gov/Archives/edgar/data/1826011/000149315224038146/ex10-25.htm" TargetMode="External"/><Relationship Id="rId75" Type="http://schemas.openxmlformats.org/officeDocument/2006/relationships/hyperlink" Target="https://www.sec.gov/Archives/edgar/data/1826011/000149315224038146/ex10-24.htm" TargetMode="External"/><Relationship Id="rId76" Type="http://schemas.openxmlformats.org/officeDocument/2006/relationships/hyperlink" Target="https://www.sec.gov/Archives/edgar/data/1826011/000149315224038522/ex10-2.htm" TargetMode="External"/><Relationship Id="rId77" Type="http://schemas.openxmlformats.org/officeDocument/2006/relationships/hyperlink" Target="https://www.sec.gov/Archives/edgar/data/1826011/000149315224041316/ex10-30.htm" TargetMode="External"/><Relationship Id="rId78" Type="http://schemas.openxmlformats.org/officeDocument/2006/relationships/hyperlink" Target="https://www.sec.gov/Archives/edgar/data/1826011/000149315224041316/ex10-30.htm" TargetMode="External"/><Relationship Id="rId79" Type="http://schemas.openxmlformats.org/officeDocument/2006/relationships/hyperlink" Target="https://www.sec.gov/Archives/edgar/data/1826011/000149315224041316/ex10-31.htm" TargetMode="External"/><Relationship Id="rId80" Type="http://schemas.openxmlformats.org/officeDocument/2006/relationships/hyperlink" Target="https://www.sec.gov/Archives/edgar/data/1826011/000149315224041316/ex10-32.htm" TargetMode="External"/><Relationship Id="rId81" Type="http://schemas.openxmlformats.org/officeDocument/2006/relationships/hyperlink" Target="https://www.sec.gov/Archives/edgar/data/1826011/000149315224041316/ex10-32.htm" TargetMode="External"/><Relationship Id="rId82" Type="http://schemas.openxmlformats.org/officeDocument/2006/relationships/hyperlink" Target="https://www.sec.gov/Archives/edgar/data/1826011/000149315224041316/ex10-33.htm" TargetMode="External"/><Relationship Id="rId83" Type="http://schemas.openxmlformats.org/officeDocument/2006/relationships/hyperlink" Target="https://www.sec.gov/Archives/edgar/data/1826011/000149315224041316/ex10-33.htm" TargetMode="External"/><Relationship Id="rId84" Type="http://schemas.openxmlformats.org/officeDocument/2006/relationships/hyperlink" Target="https://www.sec.gov/Archives/edgar/data/1826011/000149315224038146/ex10-6.htm" TargetMode="External"/><Relationship Id="rId85" Type="http://schemas.openxmlformats.org/officeDocument/2006/relationships/hyperlink" Target="https://www.sec.gov/Archives/edgar/data/1826011/000149315224041316/ex10-35.htm" TargetMode="External"/><Relationship Id="rId86" Type="http://schemas.openxmlformats.org/officeDocument/2006/relationships/hyperlink" Target="https://www.sec.gov/Archives/edgar/data/1826011/000149315224041316/ex10-36.htm" TargetMode="External"/><Relationship Id="rId87" Type="http://schemas.openxmlformats.org/officeDocument/2006/relationships/hyperlink" Target="https://www.sec.gov/Archives/edgar/data/1826011/000149315224041316/ex10-37.htm" TargetMode="External"/><Relationship Id="rId88" Type="http://schemas.openxmlformats.org/officeDocument/2006/relationships/hyperlink" Target="https://www.sec.gov/Archives/edgar/data/1826011/000149315224041316/ex10-38.htm" TargetMode="External"/><Relationship Id="rId89" Type="http://schemas.openxmlformats.org/officeDocument/2006/relationships/hyperlink" Target="https://www.sec.gov/Archives/edgar/data/1826011/000149315224041316/ex10-38.htm" TargetMode="External"/><Relationship Id="rId90" Type="http://schemas.openxmlformats.org/officeDocument/2006/relationships/hyperlink" Target="https://www.sec.gov/Archives/edgar/data/1826011/000149315224041316/ex10-39.htm" TargetMode="External"/><Relationship Id="rId91" Type="http://schemas.openxmlformats.org/officeDocument/2006/relationships/hyperlink" Target="https://www.sec.gov/Archives/edgar/data/1826011/000149315224041316/ex10-39.htm" TargetMode="External"/><Relationship Id="rId92" Type="http://schemas.openxmlformats.org/officeDocument/2006/relationships/hyperlink" Target="https://www.sec.gov/Archives/edgar/data/1826011/000149315224041316/ex10-40.htm" TargetMode="External"/><Relationship Id="rId93" Type="http://schemas.openxmlformats.org/officeDocument/2006/relationships/hyperlink" Target="https://www.sec.gov/Archives/edgar/data/1826011/000149315224041316/ex10-40.htm" TargetMode="External"/><Relationship Id="rId94" Type="http://schemas.openxmlformats.org/officeDocument/2006/relationships/hyperlink" Target="https://www.sec.gov/Archives/edgar/data/1826011/000149315224041316/ex10-41.htm" TargetMode="External"/><Relationship Id="rId95" Type="http://schemas.openxmlformats.org/officeDocument/2006/relationships/hyperlink" Target="https://www.sec.gov/Archives/edgar/data/1826011/000149315224049374/ex10-1.htm" TargetMode="External"/><Relationship Id="rId96" Type="http://schemas.openxmlformats.org/officeDocument/2006/relationships/hyperlink" Target="https://www.sec.gov/Archives/edgar/data/1826011/000149315224049374/ex10-2.htm" TargetMode="External"/><Relationship Id="rId97" Type="http://schemas.openxmlformats.org/officeDocument/2006/relationships/hyperlink" Target="https://www.sec.gov/Archives/edgar/data/1826011/000149315225003319/ex10-1.htm" TargetMode="External"/><Relationship Id="rId98" Type="http://schemas.openxmlformats.org/officeDocument/2006/relationships/hyperlink" Target="https://www.sec.gov/Archives/edgar/data/1826011/000149315225003319/ex10-2.htm" TargetMode="External"/><Relationship Id="rId99" Type="http://schemas.openxmlformats.org/officeDocument/2006/relationships/hyperlink" Target="https://www.sec.gov/Archives/edgar/data/1826011/000149315225003319/ex10-3.htm" TargetMode="External"/><Relationship Id="rId100" Type="http://schemas.openxmlformats.org/officeDocument/2006/relationships/hyperlink" Target="https://www.sec.gov/Archives/edgar/data/1826011/000149315225003319/ex10-4.htm" TargetMode="External"/><Relationship Id="rId101" Type="http://schemas.openxmlformats.org/officeDocument/2006/relationships/hyperlink" Target="https://www.sec.gov/Archives/edgar/data/1826011/000149315225003319/ex10-5.htm" TargetMode="External"/><Relationship Id="rId102" Type="http://schemas.openxmlformats.org/officeDocument/2006/relationships/hyperlink" Target="https://www.sec.gov/Archives/edgar/data/1826011/000149315224049374/ex10-3.htm" TargetMode="External"/><Relationship Id="rId103" Type="http://schemas.openxmlformats.org/officeDocument/2006/relationships/hyperlink" Target="https://www.sec.gov/Archives/edgar/data/1826011/000149315224050891/ex10-1.htm" TargetMode="External"/><Relationship Id="rId104" Type="http://schemas.openxmlformats.org/officeDocument/2006/relationships/hyperlink" Target="https://www.sec.gov/Archives/edgar/data/1826011/000149315224050891/ex10-2.htm" TargetMode="External"/><Relationship Id="rId105" Type="http://schemas.openxmlformats.org/officeDocument/2006/relationships/hyperlink" Target="https://www.sec.gov/Archives/edgar/data/1826011/000149315224050891/ex10-3.htm" TargetMode="External"/><Relationship Id="rId106" Type="http://schemas.openxmlformats.org/officeDocument/2006/relationships/hyperlink" Target="https://www.sec.gov/Archives/edgar/data/1826011/000149315225004502/ex10-3.htm" TargetMode="External"/><Relationship Id="rId107" Type="http://schemas.openxmlformats.org/officeDocument/2006/relationships/hyperlink" Target="https://www.sec.gov/Archives/edgar/data/1826011/000164117225017861/ex10-1.htm" TargetMode="External"/><Relationship Id="rId108" Type="http://schemas.openxmlformats.org/officeDocument/2006/relationships/hyperlink" Target="https://www.sec.gov/Archives/edgar/data/1826011/000164117225017861/ex10-2.htm" TargetMode="External"/><Relationship Id="rId109" Type="http://schemas.openxmlformats.org/officeDocument/2006/relationships/hyperlink" Target="https://www.sec.gov/Archives/edgar/data/1826011/000164117225017861/ex10-3.htm" TargetMode="External"/><Relationship Id="rId110" Type="http://schemas.openxmlformats.org/officeDocument/2006/relationships/fontTable" Target="fontTable.xml"/><Relationship Id="rId1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52254</Words>
  <Characters>278043</Characters>
  <CharactersWithSpaces>332524</CharactersWithSpaces>
  <Paragraphs>10989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