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ind w:left="4440" w:right="4420" w:hanging="4419"/>
        <w:spacing w:after="0" w:line="326" w:lineRule="auto"/>
        <w:tabs>
          <w:tab w:leader="none" w:pos="485"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2024</w:t>
      </w:r>
    </w:p>
    <w:p>
      <w:pPr>
        <w:ind w:left="5520"/>
        <w:spacing w:after="0"/>
        <w:rPr>
          <w:rFonts w:ascii="MS PGothic" w:cs="MS PGothic" w:eastAsia="MS PGothic" w:hAnsi="MS PGothic"/>
          <w:sz w:val="12"/>
          <w:szCs w:val="12"/>
          <w:color w:val="auto"/>
          <w:highlight w:val="black"/>
        </w:rPr>
      </w:pPr>
      <w:r>
        <w:rPr>
          <w:rFonts w:ascii="Times New Roman" w:cs="Times New Roman" w:eastAsia="Times New Roman" w:hAnsi="Times New Roman"/>
          <w:sz w:val="13"/>
          <w:szCs w:val="13"/>
          <w:b w:val="1"/>
          <w:bCs w:val="1"/>
          <w:color w:val="auto"/>
        </w:rPr>
        <w:t>OR</w:t>
      </w:r>
    </w:p>
    <w:p>
      <w:pPr>
        <w:spacing w:after="0" w:line="26" w:lineRule="exact"/>
        <w:rPr>
          <w:sz w:val="24"/>
          <w:szCs w:val="24"/>
          <w:color w:val="auto"/>
        </w:rPr>
      </w:pPr>
    </w:p>
    <w:p>
      <w:pPr>
        <w:ind w:left="20"/>
        <w:spacing w:after="0"/>
        <w:tabs>
          <w:tab w:leader="none" w:pos="460" w:val="left"/>
          <w:tab w:leader="none" w:pos="9940" w:val="left"/>
        </w:tabs>
        <w:rPr>
          <w:sz w:val="20"/>
          <w:szCs w:val="20"/>
          <w:color w:val="auto"/>
        </w:rPr>
      </w:pPr>
      <w:r>
        <w:rPr>
          <w:rFonts w:ascii="MS PGothic" w:cs="MS PGothic" w:eastAsia="MS PGothic" w:hAnsi="MS PGothic"/>
          <w:sz w:val="13"/>
          <w:szCs w:val="13"/>
          <w:color w:val="auto"/>
          <w:highlight w:val="black"/>
        </w:rPr>
        <w:t>☐</w:t>
      </w:r>
      <w:r>
        <w:rPr>
          <w:sz w:val="20"/>
          <w:szCs w:val="20"/>
          <w:color w:val="auto"/>
        </w:rPr>
        <w:tab/>
      </w: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001-39826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p>
      <w:pPr>
        <w:spacing w:after="0" w:line="4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2020"/>
        <w:spacing w:after="0" w:line="229"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line="235" w:lineRule="auto"/>
        <w:rPr>
          <w:sz w:val="20"/>
          <w:szCs w:val="20"/>
          <w:color w:val="auto"/>
        </w:rPr>
      </w:pPr>
      <w:r>
        <w:rPr>
          <w:rFonts w:ascii="Times New Roman" w:cs="Times New Roman" w:eastAsia="Times New Roman" w:hAnsi="Times New Roman"/>
          <w:sz w:val="13"/>
          <w:szCs w:val="13"/>
          <w:b w:val="1"/>
          <w:bCs w:val="1"/>
          <w:color w:val="auto"/>
        </w:rPr>
        <w:t>incorporation or organization)</w:t>
      </w:r>
    </w:p>
    <w:p>
      <w:pPr>
        <w:ind w:left="1940"/>
        <w:spacing w:after="0"/>
        <w:rPr>
          <w:sz w:val="20"/>
          <w:szCs w:val="20"/>
          <w:color w:val="auto"/>
        </w:rPr>
      </w:pPr>
      <w:r>
        <w:rPr>
          <w:rFonts w:ascii="Times New Roman" w:cs="Times New Roman" w:eastAsia="Times New Roman" w:hAnsi="Times New Roman"/>
          <w:sz w:val="14"/>
          <w:szCs w:val="14"/>
          <w:b w:val="1"/>
          <w:bCs w:val="1"/>
          <w:color w:val="auto"/>
        </w:rPr>
        <w:t>435 Ericksen Ave, Suite 250</w:t>
      </w:r>
    </w:p>
    <w:p>
      <w:pPr>
        <w:spacing w:after="0" w:line="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Bainbridge Island, Washington</w:t>
      </w:r>
    </w:p>
    <w:p>
      <w:pPr>
        <w:spacing w:after="0" w:line="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(206) 414-1777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85-3118980</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2"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98110</w:t>
      </w:r>
    </w:p>
    <w:p>
      <w:pPr>
        <w:spacing w:after="0" w:line="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337" w:lineRule="exact"/>
        <w:rPr>
          <w:sz w:val="24"/>
          <w:szCs w:val="24"/>
          <w:color w:val="auto"/>
        </w:rPr>
      </w:pPr>
    </w:p>
    <w:p>
      <w:pPr>
        <w:sectPr>
          <w:pgSz w:w="11900" w:h="16838" w:orient="portrait"/>
          <w:cols w:equalWidth="0" w:num="2">
            <w:col w:w="7580" w:space="360"/>
            <w:col w:w="3300"/>
          </w:cols>
          <w:pgMar w:left="320" w:top="12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1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55"/>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08"/>
        </w:trPr>
        <w:tc>
          <w:tcPr>
            <w:tcW w:w="45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 common stock, par value $0.0001 per share</w:t>
            </w:r>
          </w:p>
        </w:tc>
        <w:tc>
          <w:tcPr>
            <w:tcW w:w="240" w:type="dxa"/>
            <w:vAlign w:val="bottom"/>
          </w:tcPr>
          <w:p>
            <w:pPr>
              <w:spacing w:after="0"/>
              <w:rPr>
                <w:sz w:val="9"/>
                <w:szCs w:val="9"/>
                <w:color w:val="auto"/>
              </w:rPr>
            </w:pPr>
          </w:p>
        </w:tc>
        <w:tc>
          <w:tcPr>
            <w:tcW w:w="18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BNZI</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The Nasdaq Capital Market</w:t>
            </w:r>
          </w:p>
        </w:tc>
      </w:tr>
      <w:tr>
        <w:trPr>
          <w:trHeight w:val="135"/>
        </w:trPr>
        <w:tc>
          <w:tcPr>
            <w:tcW w:w="4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 Warrants, each whole warrant exercisable for one share of Class A</w:t>
            </w:r>
          </w:p>
        </w:tc>
        <w:tc>
          <w:tcPr>
            <w:tcW w:w="24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BNZIW</w:t>
            </w:r>
          </w:p>
        </w:tc>
        <w:tc>
          <w:tcPr>
            <w:tcW w:w="120" w:type="dxa"/>
            <w:vAlign w:val="bottom"/>
          </w:tcPr>
          <w:p>
            <w:pPr>
              <w:spacing w:after="0"/>
              <w:rPr>
                <w:sz w:val="11"/>
                <w:szCs w:val="11"/>
                <w:color w:val="auto"/>
              </w:rPr>
            </w:pPr>
          </w:p>
        </w:tc>
        <w:tc>
          <w:tcPr>
            <w:tcW w:w="4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 Nasdaq Capital Market</w:t>
            </w:r>
          </w:p>
        </w:tc>
      </w:tr>
      <w:tr>
        <w:trPr>
          <w:trHeight w:val="166"/>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stock at an exercise price of $575.00</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20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03"/>
        </w:trPr>
        <w:tc>
          <w:tcPr>
            <w:tcW w:w="11240" w:type="dxa"/>
            <w:vAlign w:val="bottom"/>
            <w:gridSpan w:val="6"/>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27"/>
        </w:trPr>
        <w:tc>
          <w:tcPr>
            <w:tcW w:w="664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600" w:type="dxa"/>
            <w:vAlign w:val="bottom"/>
            <w:gridSpan w:val="2"/>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6"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7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38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on the last business day of the registrant's most recently competed second fiscal quarter, was approximately $4,576,909 as of June 30, 2024, based on the last sales price reported for such date on The Nasdaq Stock Exchange LLC.</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each of the registrant's classes of common stock, as of April 10, 2025:</w:t>
      </w:r>
    </w:p>
    <w:p>
      <w:pPr>
        <w:spacing w:after="0" w:line="5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3"/>
          <w:szCs w:val="13"/>
          <w:color w:val="auto"/>
        </w:rPr>
        <w:t>Class A Common Stock - 12,846,807 shares</w:t>
      </w:r>
    </w:p>
    <w:p>
      <w:pPr>
        <w:spacing w:after="0" w:line="5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3"/>
          <w:szCs w:val="13"/>
          <w:color w:val="auto"/>
        </w:rPr>
        <w:t>Class B Common Stock - 2,311,134 shares</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8"/>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gridSpan w:val="8"/>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86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86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3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323"/>
        </w:trPr>
        <w:tc>
          <w:tcPr>
            <w:tcW w:w="12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spacing w:after="0" w:line="75" w:lineRule="exact"/>
        <w:rPr>
          <w:sz w:val="20"/>
          <w:szCs w:val="20"/>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business and operating performance and goals;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 and customer retention;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future or ability to maintain or improve its financial position, cash flows, and liquidity and its expected financial needs;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financing and ability to obtain financing;</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strategy and proposed acquisitions and, if completed, their potential success and financial contributions;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and strategic goals, including being able to capitalize on opportunities;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the Company’s industry, outlook and market trends;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market and serviceable addressable market and related projections;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strategies and expectations for retaining existing or acquiring new customers, increasing revenue and executing growth initiatives;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areas of focus and additional products that may be sold in the future.</w:t>
      </w:r>
    </w:p>
    <w:p>
      <w:pPr>
        <w:spacing w:after="0" w:line="22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annual report to “Banzai,” “Company,” “we,” “us” and “our” and similar designations refer to Banzai International, Inc.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International, Inc. (f/k/a 7GC &amp; Co. Holdings Inc.) is a Software as a Service (“SaaS”) company operating in the marketing technology (“MarTech”) industry. We provide our customers with tools to help them market and sell with greater efficiency and impact. To date, Banzai has supported over 90,000 global customers, including entrepreneurs and Fortune 500 companies. Our customers include Amazon, Dell, Salesforce, Aflac, Thermo Fisher Scientific, and many other globally recognized brands.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vision is to build a suite of mission-critical solutions that address a broad spectrum of customer needs. By integrating these tools, we aim to create efficiencies and unlock shared data and assets that power more advanced AI capabilities. Between the first quarter of 2024 and the first quarter of 2025, Banzai has acquired two companies, ClearDoc, Inc. (d/b/a OpenReel) and Vidello, Ltd. We also entered into a definitive agreement to acquire Act-On, Inc. Our platform currently includes several products, ranging across demand generation, webinar hosting, video creation and email newsletters.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with customer contracts that vary in term length from single months to multiple years. As of December 31, 2024, our customer base included over 3,070 customers operating in over 90 countries, across numerous different industries, including healthcare, financial services, e-commerce, technology, media and others. No single customer represents more than 1% of our revenue.</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were originally incorporated in Delaware in September 2020 as a blank check company formed for the purpose of effecting a merger, share exchange, asset acquisition, stock purchase, reorganization or similar business combination with one or more businesses or entities. Upon closing our initial business combination on December 14, 2023 (the “Business Combination”) pursuant to that certain Agreement and Plan of Merger and Reorganization, dated as of December 8, 2022, with Banzai Operating Co LLC (f/k/a Banzai International, Inc.) (“Legacy Banzai”), 7GC Merger Sub I, Inc. (“First Merger Sub”), and 7GC Merger Sub II, LLC (“Second Merger Sub”) (as amended by the Amendment to Agreement and Plan of Merger, dated as of August 4, 2023, the “Merger Agreement”), we acquired Legacy Banzai. Legacy Banzai operates under the name “Banzai Operating Co Inc.” (the “Operating Company”) and is one of our two wholly owned subsidiaries. Legacy Banzai was incorporated in Delaware in September 2015. Our business operations are currently conducted by the Operating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Trends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MarTech industry has undergone rapid growth and transformation in recent years. As per the Winterberry Report (as hereinafter defined), it seems that as companies prioritize efficient growth, demand for MarTech solutions continues to rise—a trend we expect to accelerate amid increasing global competition and pressure to demonstrate profitability.</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MarTech landscape is vast and rapidly evolving, with over 14,000 vendors offering solutions across a broad spectrum of needs. According to the 2024 Marketing Technology Landscape report by ChiefMartec, the number of MarTech companies has grown by 27.8% year over year, reaching 14,106 providers. This fragmented ecosystem presents a significant opportunity for acquisitions and platform expansion. With so many vendors, competition is fierce, making it essential for Banzai to differentiate ourselves through exceptional products and customer service.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Market Size</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compete within the business-to-business (“B2B”) MarTech value chain, which encompasses functions including creating and distributing content, acquiring and nurturing leads, executing and optimizing campaigns, and managing and measuring performance.</w:t>
      </w:r>
    </w:p>
    <w:p>
      <w:pPr>
        <w:spacing w:after="0" w:line="16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B2B spending across categories such as demand generation, marketing automation, digital events platforms, account-based marketing, CRM,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spacing w:after="0" w:line="18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2024, our platform offers five SaaS products: OpenReel, Demio, Boost, Curate, and Reach.</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OpenReel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OpenReel is an AI-powered video creation platform that enables users to remotely record, edit, host, and share high-quality videos from any location.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remote capture feature allows users to film professional-grade videos using devices like smartphones or webcams, without needing to be there in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platform offers AI-driven editing tools for seamless content refinement and customization, along with secure cloud storage for easy access and sharing.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OpenReel's comprehensive solution streamlines the video production process, making it efficient and cost-effective for businesses and individuals.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CreateStudio</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Vidello</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Vidello​ is a comprehensive video hosting and marketing platform designed to help businesses manage, customize, and optimize their video content. It offers a customizable, fast-loading video player, along with features like A/B split testing,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Demio</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Boost</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Reach</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Curate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Enhancements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a unique management framework at Banzai that we feel is a core part of our success. We use this framework to align our cross-functional objectives around a set of strategies that we update as the needs of our business change. We use these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strategies to create alignment for our engineering, sales, and marketing teams. This helps us to work cohesively towards shared goals, maximizing the efficiency and effectiveness of our efforts.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identifying opportunities for new features, enhancements, and market segments, we can strategically plan and execute our growth initiatives, supporting our long-term sustainability and success.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Customer Expansion is key to our long-term vision. We believe our strategies support increasing the average amount of revenue we earn per customer per year (our average customer value or “ACV”) through development of features that are correlated with usage by higher value customers. We also develop add-on features and products that can be sold to our existing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growth strategy is to expand our platform to make it more valuable to customers and find new ways to enhance a wider range of MarTech interactions. The key elements of our growth strategy are:</w:t>
      </w:r>
    </w:p>
    <w:p>
      <w:pPr>
        <w:spacing w:after="0" w:line="158" w:lineRule="exact"/>
        <w:rPr>
          <w:sz w:val="20"/>
          <w:szCs w:val="20"/>
          <w:color w:val="auto"/>
        </w:rPr>
      </w:pPr>
    </w:p>
    <w:p>
      <w:pPr>
        <w:ind w:left="960" w:hanging="512"/>
        <w:spacing w:after="0" w:line="286"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Efficient Customer Acquisition</w:t>
      </w:r>
      <w:r>
        <w:rPr>
          <w:rFonts w:ascii="Times New Roman" w:cs="Times New Roman" w:eastAsia="Times New Roman" w:hAnsi="Times New Roman"/>
          <w:sz w:val="18"/>
          <w:szCs w:val="18"/>
          <w:color w:val="auto"/>
        </w:rPr>
        <w:t>: Continue to acquire new customers cost effectively through organic traffic, content, affiliates,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partnerships, advertising, word-of-mouth, and other sources.</w:t>
      </w:r>
    </w:p>
    <w:p>
      <w:pPr>
        <w:spacing w:after="0" w:line="46" w:lineRule="exact"/>
        <w:rPr>
          <w:rFonts w:ascii="Times New Roman" w:cs="Times New Roman" w:eastAsia="Times New Roman" w:hAnsi="Times New Roman"/>
          <w:sz w:val="18"/>
          <w:szCs w:val="18"/>
          <w:b w:val="1"/>
          <w:bCs w:val="1"/>
          <w:color w:val="auto"/>
        </w:rPr>
      </w:pPr>
    </w:p>
    <w:p>
      <w:pPr>
        <w:ind w:left="960" w:hanging="512"/>
        <w:spacing w:after="0" w:line="286"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Retention and Expansion</w:t>
      </w:r>
      <w:r>
        <w:rPr>
          <w:rFonts w:ascii="Times New Roman" w:cs="Times New Roman" w:eastAsia="Times New Roman" w:hAnsi="Times New Roman"/>
          <w:sz w:val="18"/>
          <w:szCs w:val="18"/>
          <w:color w:val="auto"/>
        </w:rPr>
        <w:t>: Continue to expand our customer success and customer marketing organizations to increase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retention and customer expansion.</w:t>
      </w:r>
    </w:p>
    <w:p>
      <w:pPr>
        <w:spacing w:after="0" w:line="46" w:lineRule="exact"/>
        <w:rPr>
          <w:rFonts w:ascii="Times New Roman" w:cs="Times New Roman" w:eastAsia="Times New Roman" w:hAnsi="Times New Roman"/>
          <w:sz w:val="18"/>
          <w:szCs w:val="18"/>
          <w:b w:val="1"/>
          <w:bCs w:val="1"/>
          <w:color w:val="auto"/>
        </w:rPr>
      </w:pPr>
    </w:p>
    <w:p>
      <w:pPr>
        <w:ind w:left="960" w:hanging="512"/>
        <w:spacing w:after="0" w:line="286"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 Product Improvements</w:t>
      </w:r>
      <w:r>
        <w:rPr>
          <w:rFonts w:ascii="Times New Roman" w:cs="Times New Roman" w:eastAsia="Times New Roman" w:hAnsi="Times New Roman"/>
          <w:sz w:val="18"/>
          <w:szCs w:val="18"/>
          <w:color w:val="auto"/>
        </w:rPr>
        <w:t>: Continue to develop our family of products to create defensibly differentiated solutions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essential to customers.</w:t>
      </w:r>
    </w:p>
    <w:p>
      <w:pPr>
        <w:spacing w:after="0" w:line="46" w:lineRule="exact"/>
        <w:rPr>
          <w:rFonts w:ascii="Times New Roman" w:cs="Times New Roman" w:eastAsia="Times New Roman" w:hAnsi="Times New Roman"/>
          <w:sz w:val="18"/>
          <w:szCs w:val="18"/>
          <w:b w:val="1"/>
          <w:bCs w:val="1"/>
          <w:color w:val="auto"/>
        </w:rPr>
      </w:pPr>
    </w:p>
    <w:p>
      <w:pPr>
        <w:ind w:left="960" w:hanging="512"/>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Introduce New Products</w:t>
      </w:r>
      <w:r>
        <w:rPr>
          <w:rFonts w:ascii="Times New Roman" w:cs="Times New Roman" w:eastAsia="Times New Roman" w:hAnsi="Times New Roman"/>
          <w:sz w:val="18"/>
          <w:szCs w:val="18"/>
          <w:color w:val="auto"/>
        </w:rPr>
        <w:t>: Roll out new products that attract new customers and expand the ways we can serve existing customers.</w:t>
      </w:r>
    </w:p>
    <w:p>
      <w:pPr>
        <w:spacing w:after="0" w:line="117" w:lineRule="exact"/>
        <w:rPr>
          <w:rFonts w:ascii="Times New Roman" w:cs="Times New Roman" w:eastAsia="Times New Roman" w:hAnsi="Times New Roman"/>
          <w:sz w:val="18"/>
          <w:szCs w:val="18"/>
          <w:b w:val="1"/>
          <w:bCs w:val="1"/>
          <w:color w:val="auto"/>
        </w:rPr>
      </w:pPr>
    </w:p>
    <w:p>
      <w:pPr>
        <w:jc w:val="both"/>
        <w:ind w:left="960" w:hanging="512"/>
        <w:spacing w:after="0" w:line="262"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Strategy: </w:t>
      </w:r>
      <w:r>
        <w:rPr>
          <w:rFonts w:ascii="Times New Roman" w:cs="Times New Roman" w:eastAsia="Times New Roman" w:hAnsi="Times New Roman"/>
          <w:sz w:val="18"/>
          <w:szCs w:val="18"/>
          <w:color w:val="auto"/>
        </w:rPr>
        <w:t>Banzai has acquired two businesses as of March 31, 2025 – ClearDoc, Inc. (d/b/a OpenReel) and Vidello, Ltd.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23, 2025, the company announced a definitive agreement to acquire Act-On Software, Inc, subject to closing conditions. The Company will continue to look for future acquisition opportunities prioritizing companies that are profitable and have highly-rated solutions with customer bases that align with Banzai’s existing customer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OpenReel Merger</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December 18, 2024 (the “OR Closing Date”), we closed a merger (the “OR Merger”, the consummation of the Merger, the “OR Closing”) with ClearDoc, Inc., a Delaware corporation doing business as OpenReel (“OpenReel”), pursuant to an Agreement and Plan of Merger (the “OR Merger Agreement”), dated December 10, 2024, by and among the Company, OpenReel, certain stockholders of OpenReel (the “OpenReel Stockholders”), and Banzai Reel Acquisition, Inc., a Delaware corporation and wholly owned subsidiary of Banzai (“Merger Sub”), that was formed solely for purposes of consummating the OR Merger. Upon Closing, the Merger Sub merged with and into OpenReel, with OpenReel being the surviving entity (the “Surviving Entity”) thereafter as our direct and wholly owned subsidiary named “OpenReel, Inc.”</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OpenReel is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 To learn more about the company, visit: </w:t>
      </w:r>
      <w:r>
        <w:rPr>
          <w:rFonts w:ascii="Times New Roman" w:cs="Times New Roman" w:eastAsia="Times New Roman" w:hAnsi="Times New Roman"/>
          <w:sz w:val="18"/>
          <w:szCs w:val="18"/>
          <w:u w:val="single" w:color="auto"/>
          <w:color w:val="auto"/>
        </w:rPr>
        <w:t>www.openreel.com</w:t>
      </w:r>
      <w:r>
        <w:rPr>
          <w:rFonts w:ascii="Times New Roman" w:cs="Times New Roman" w:eastAsia="Times New Roman" w:hAnsi="Times New Roman"/>
          <w:sz w:val="18"/>
          <w:szCs w:val="18"/>
          <w:color w:val="auto"/>
        </w:rPr>
        <w:t>. The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provided on OpenReel's website (or any other website referred to in this report) is not part of this Report and is not incorporated by reference as part of this Annual Report.</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At the effective time of the OR Merger (the “Effective Time”), each share of capital stock of OpenReel issued and outstanding immediately prior to the Effective Time (other than shares as to which dissenter’s rights have been properly exercised and certain other excluded shares) was converted into the right to receive Common Stock and pre-funded warrants, each exercisable for one (1) share of Common Stock at an exercise price of US$0.0001 (the “Pre-Funded Warrants”) issued in lieu thereof, in an amount equal to the quotient of $19,600,000 divided by the Conversion Price (as defined in the OR Merger Agreement) (the “OR Merger Consideration”).</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OR Merger Consideration consisted of an aggregate of 930,558 shares of Banzai Common Stock and 11,769,501 Pre-Funded Warrants. The shares of Common Stock and Pre-Funded Warrants issued by Banzai to the OpenReel Stockholders pursuant to the OR Merger Agreement were issued in reliance upon the exemption from registration provided by Section 4(a)(2) of the Securities Act of 1933, as amended (the “Securities Act”).</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the extent that any OpenReel Stockholder’s receipt of shares of Common Stock as OR Merger Consideration would result in such OpenReel Stockholder, together with its affiliates, beneficially owning (as determined in accordance with Section 13(d) of the Securities Exchange Act of 1934, as amended (the “Exchange Act”), and the rules promulgated thereunder) more than 9.99% of the Common Stock issued and outstanding immediately following the OR Closing (the “Beneficial Ownership Limitation”), we will issue to such OpenReel Stockholder OR Merger Consideration comprised of (i) such number of shares of Common Stock as may be issued without causing such OpenReel Stockholder to exceed the Beneficial Ownership Limitation and</w:t>
      </w:r>
    </w:p>
    <w:p>
      <w:pPr>
        <w:spacing w:after="0" w:line="3" w:lineRule="exact"/>
        <w:rPr>
          <w:sz w:val="20"/>
          <w:szCs w:val="20"/>
          <w:color w:val="auto"/>
        </w:rPr>
      </w:pPr>
    </w:p>
    <w:p>
      <w:pPr>
        <w:ind w:firstLine="8"/>
        <w:spacing w:after="0" w:line="260" w:lineRule="auto"/>
        <w:tabs>
          <w:tab w:leader="none" w:pos="2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the number of shares of Common Stock that could not be issued to such OpenReel Stockholder due to the Beneficial Ownership Limitation.</w:t>
      </w:r>
    </w:p>
    <w:p>
      <w:pPr>
        <w:spacing w:after="0" w:line="181"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18"/>
          <w:szCs w:val="18"/>
          <w:color w:val="auto"/>
        </w:rPr>
        <w:t>The terms of the Pre-Funded Warrants provide that we cannot issue shares of Class A Common Stock to any holder of a Pre-Funded Warrant upon the exercise thereof to the extent that the number of shares to be issued pursuant to such exercise, taken together with the number of shares issued pursuant to the OpenReel Merger Agreement and the number of shares issued pursuant to the exercise of other Pre-Funded Warrants, would exceed 19.99% of number of shares of Class A Common Stock issued and outstanding immediately prior to the closing of the OR Merger (the “Nasdaq Ownership Limitation”). On February 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2025, during the special meeting of shareholders, we obtained shareholder approval to issue all of the shares of Class A Common Stock underlying the Pre-Funded Warrants.</w:t>
      </w:r>
    </w:p>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copy of the OR Merger Agreement is filed herewith as Exhibit 2.1 hereto and incorporated herein by reference. The above description of the OR Merger Agreement is qualified in its entirety by reference to such an exhibit. A copy of the form of the Pre-Funded Warrant is filed herewith as Exhibit 10.2 and is incorporated herein by reference. The above description of the Pre-Funded Warrants is qualified in its entirety by reference to such exhibit.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connection with and as a condition to closing under the OR Merger Agreement, on the OR Closing Date, we executed and delivered to each OpenReel Stockholder a registration rights agreement (the “Registration Rights Agreement”), pursuant to which, among other things, Banzai agreed to register for resale following the Closing, the shares representing the OR Merger Consideration.</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to closing under the OR Merger Agreement, on the OR Closing Date, the Company issued one (1) share of series FE preferred stock, par value US$0.0001 per share (the “Series FE Preferred Stock”), to one of the OpenReel Stockholders, FE IV OR Aggregator, LLC, and filed the certificate of designation (the “Certificate of Designation”) of such Series FE Preferred Stock with the Secretary of State of the State of Delaware.</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OR Closing, the directors and officers of OpenReel tendered their resignation, effective upon the OR Closing. Joseph P. Davy was appointed as the sole director and President of the Surviving Entity, and Alvin Yip was appointed as Secretary and Treasurer, all of which are effective upon the OR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Vidello Acquisition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31, 2025, the Company closed on the Vidello Limited acquisition, a private limited company registered in England and Wales for approximately $2.7 million in cash ($2,500,000 are withheld for indemnification expenses and other holdback provisions in accordance with the Acquisition Agreement, the “Cash Consideration”) and 898,204 shares of Banzai Class A Common Stock, pursuant to an Acquisition Agreement (the “Acquisition Agreement”), dated December 19, 2024, by and among the Company, Vidello, and certain shareholders of Vidello (the “Vidello Shareholders”). Vidello Shareholders transferred all the outstanding shares of Vidello to the Company, therefore, Vidello became a direct and wholly owned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subsidiary of the Company. The Share Consideration to the Vidello Shareholders pursuant to the Acquisition Agreement were issued in reliance upon the exemption from registration provided by Regulation D as promulgated under the Securities Act of 1933, as amended (the “Securities Act”).</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Vidello provides a suite of products for 3D video creation, royalty free music, and video marketing, with over $6.5 million in TTM revenue, $2 million in TTM EBITDA, with such operating results expected to reduce the combined company in operating losses to approximately $1.3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Act-On Merger</w:t>
      </w:r>
    </w:p>
    <w:p>
      <w:pPr>
        <w:spacing w:after="0" w:line="22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On January 22, 2025, the Company entered into an Agreement and Plan of Merger (the “Act-On Merger Agreement”) with Act-On Software Inc., a Delaware corporation (“Act-On”), and Banzai Passage Inc., a Delaware corporation and wholly owned subsidiary of Banzai (“Act-On Merger Sub”) that was formed solely for purposes of consummating the transactions contemplated in the Merger Agreement (the “Act-On Merger”). Pursuant to the Act-On Merger Agreement, subject to the satisfaction or waiver of the conditions set forth therein, upon closing of the Act-On Merger, Act-On will merge with and into the Act-On Merger Sub, with Act-On surviving the Act-On Merger (the “Surviving Entity”), thereafter being a direct, wholly owned subsidiary of Banzai. The Closing of the Act-On Merger is subject to customary conditions, including (1) (A) adoption of the Act-On Merger Agreement by the Act-On Stockholders that hold the requisite percentage necessary to approve the Act-On Merger under Act-On’s Amended and Restated Certificate of Incorporation and (B) approval of the Transaction by the Company’s board of directors, (2) authorization for listing on the Nasdaq Capital Market of the shares of Class A Common Stock to be issued in the Act-On Merger, subject to official notice of issuance, and (3) the absence of any order, injunction, decree or other legal restraint preventing the completion of the Act-On Merger or making the completion of the Act-On Merger illegal. Each party’s obligation to complete the Act-On Merger is also subject to certain additional customary conditions, including subject to certain exceptions, the accuracy of the representations and warranties of the other party and performance in all material respects by the other party of its obligations under the Act-On Merger Agreement. The Act-On Merger Agreement also contains customary representations, warranties, and indemnities of Banzai and Act-On. Although the Company cannot guarantee that the Act-On Merger will close, the Company expects all of the closing conditions to be satisfied or waived, and to close the transaction in Q2 2025.</w:t>
      </w:r>
    </w:p>
    <w:p>
      <w:pPr>
        <w:spacing w:after="0" w:line="19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part of its Open Marketing Ecosystem, the Act-On platform offers native integrations with all major CRM systems, to be vendor-agnostic without being indifferent. A separate version for agencies has an agency dashboard to centrally manage multiple client campaigns and is sold at a lower bulk price. Act-On also promotes its agency partners and third-party applications on the Act-On Partner Exchange (APEX), manages an educational resource called the Act-On Center of Excellence (ACE) and provides professional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primary focus is on increasing mid-market and enterprise customers. Progress towards this is reflected in our acquisition of OpenReel, adding their 650 customers to the overall Banzai customer base, as well as our increase in multi-host Demio customers from 12 to 163 between January 2021 and December, 2024, an approximately 14-fold increase.</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product-led growth company, we utilize a hybrid self-service and direct sales go-to-market approach. Our self-service customers subscribe to or purchase directly from our product websites or start free product trials which can lead to a later paid subscription or purchase. Our direct sales customers subscribe or purchase through sales representatives, who are compensated with a base salary and typically participate in incentive plans such as commissions or bonuses.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Competition, Strengths, and Differentiation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compete across a variety of categories within the B2B MarTech landscape including digital events and webinars, demand generation, video creation, engagement platforms and marketing automation, and measurement and attribution.</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2024, we held three registered trademarks in the United States: “Banzai”, "Demio" and "OpenReel". For more information regarding risks related to our intellectual property, please see </w:t>
      </w:r>
      <w:r>
        <w:rPr>
          <w:rFonts w:ascii="Times New Roman" w:cs="Times New Roman" w:eastAsia="Times New Roman" w:hAnsi="Times New Roman"/>
          <w:sz w:val="18"/>
          <w:szCs w:val="18"/>
          <w:i w:val="1"/>
          <w:iCs w:val="1"/>
          <w:color w:val="auto"/>
        </w:rPr>
        <w:t>“Risk Factors-Risks Related to Business and Industry-Failure to protect or enforce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rights could harm our business and results of operations” and “Risk Factors-Risks Related to Business and Industry-Third parties may initiate legal proceedings alleging that we are infringing or otherwise violating their intellectual property rights, the outcome of which would be uncertain and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Management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2024, we had 28 full-time employees, 0 part-time employees, and 44 contractors.</w:t>
      </w:r>
    </w:p>
    <w:p>
      <w:pPr>
        <w:spacing w:after="0" w:line="225"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spacing w:after="0" w:line="172" w:lineRule="exact"/>
        <w:rPr>
          <w:sz w:val="20"/>
          <w:szCs w:val="20"/>
          <w:color w:val="auto"/>
        </w:rPr>
      </w:pPr>
    </w:p>
    <w:p>
      <w:pPr>
        <w:jc w:val="both"/>
        <w:ind w:left="960" w:hanging="512"/>
        <w:spacing w:after="0" w:line="268"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Learning. </w:t>
      </w:r>
      <w:r>
        <w:rPr>
          <w:rFonts w:ascii="Times New Roman" w:cs="Times New Roman" w:eastAsia="Times New Roman" w:hAnsi="Times New Roman"/>
          <w:sz w:val="18"/>
          <w:szCs w:val="18"/>
          <w:color w:val="auto"/>
        </w:rPr>
        <w:t>Technology and marketing are constantly changing. We value learning because adaptation is essential to delivering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our customers. Our team members are open-minded, critical-thinkers who are willing to disagree, try new things, and change their minds when warranted.</w:t>
      </w:r>
    </w:p>
    <w:p>
      <w:pPr>
        <w:spacing w:after="0" w:line="62" w:lineRule="exact"/>
        <w:rPr>
          <w:rFonts w:ascii="Times New Roman" w:cs="Times New Roman" w:eastAsia="Times New Roman" w:hAnsi="Times New Roman"/>
          <w:sz w:val="18"/>
          <w:szCs w:val="18"/>
          <w:b w:val="1"/>
          <w:bCs w:val="1"/>
          <w:color w:val="auto"/>
        </w:rPr>
      </w:pPr>
    </w:p>
    <w:p>
      <w:pPr>
        <w:ind w:left="960" w:hanging="512"/>
        <w:spacing w:after="0" w:line="286"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Serving Others. </w:t>
      </w:r>
      <w:r>
        <w:rPr>
          <w:rFonts w:ascii="Times New Roman" w:cs="Times New Roman" w:eastAsia="Times New Roman" w:hAnsi="Times New Roman"/>
          <w:sz w:val="18"/>
          <w:szCs w:val="18"/>
          <w:color w:val="auto"/>
        </w:rPr>
        <w:t>Nothing happens without our customers. We value Serving Others because serving customers is the reason we exist.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members prioritize the needs of our customers, our team, and our communities.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left="960" w:hanging="512"/>
        <w:spacing w:after="0" w:line="286" w:lineRule="auto"/>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Game Changing. </w:t>
      </w:r>
      <w:r>
        <w:rPr>
          <w:rFonts w:ascii="Times New Roman" w:cs="Times New Roman" w:eastAsia="Times New Roman" w:hAnsi="Times New Roman"/>
          <w:sz w:val="18"/>
          <w:szCs w:val="18"/>
          <w:color w:val="auto"/>
        </w:rPr>
        <w:t>To succeed in a competitive marketplace, we have to deliver impactful solutions for our customers. Our team members find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creative solutions, raise the bar, take risks, and help our customers realize more successful outcomes.</w:t>
      </w:r>
    </w:p>
    <w:p>
      <w:pPr>
        <w:spacing w:after="0" w:line="46" w:lineRule="exact"/>
        <w:rPr>
          <w:rFonts w:ascii="Times New Roman" w:cs="Times New Roman" w:eastAsia="Times New Roman" w:hAnsi="Times New Roman"/>
          <w:sz w:val="18"/>
          <w:szCs w:val="18"/>
          <w:b w:val="1"/>
          <w:bCs w:val="1"/>
          <w:color w:val="auto"/>
        </w:rPr>
      </w:pPr>
    </w:p>
    <w:p>
      <w:pPr>
        <w:jc w:val="both"/>
        <w:ind w:left="960" w:hanging="512"/>
        <w:spacing w:after="0" w:line="268" w:lineRule="auto"/>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“10,000 Years.” </w:t>
      </w:r>
      <w:r>
        <w:rPr>
          <w:rFonts w:ascii="Times New Roman" w:cs="Times New Roman" w:eastAsia="Times New Roman" w:hAnsi="Times New Roman"/>
          <w:sz w:val="18"/>
          <w:szCs w:val="18"/>
          <w:color w:val="auto"/>
        </w:rPr>
        <w:t>To achieve long-term success, we must plan and act with the end goal in mind. We value the symbolism of the term “10,000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(the literal translation of the Japanese word “Banzai”), because it reminds us that we’re building for the future—to something greater than what we see today—and that each day we’re contributing toward that vision.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We were originally known as 7GC &amp; Co. Holdings Inc. On December 14, 2023, 7GC consummated the Business Combination with Legacy Banzai pursuant to the Merger Agreement. In connection with the Closing of the Business Combination, 7GC changed its name to Banzai International, Inc. Legacy Banzai was deemed to be the accounting acquirer in the Mergers based on an analysis of the criteria outlined in Accounting Standards Codification</w:t>
      </w:r>
    </w:p>
    <w:p>
      <w:pPr>
        <w:spacing w:after="0" w:line="1" w:lineRule="exact"/>
        <w:rPr>
          <w:sz w:val="20"/>
          <w:szCs w:val="20"/>
          <w:color w:val="auto"/>
        </w:rPr>
      </w:pPr>
    </w:p>
    <w:p>
      <w:pPr>
        <w:jc w:val="both"/>
        <w:ind w:firstLine="8"/>
        <w:spacing w:after="0" w:line="255" w:lineRule="auto"/>
        <w:tabs>
          <w:tab w:leader="none" w:pos="3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7GC was the legal acquirer in the Mergers, because Legacy Banzai was deemed the accounting acquirer, the historical financial statements of Legacy Banzai became the historical financial statements of the combined company upon the consummation of the Mergers. The Business Combination is described in further detail in the section titled “Business” beginning on page 77.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August 29, 2024, we held a special meeting of securityholders (the “Special Meeting”). At the Special Meeting, the Company’s securityholders approved the proposal to amend our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On September 10, 2024, our Board determined to effect a reverse stock split at a ratio of 1-for-50 (the “Stock Split”), and filed an amendment to our Second Amended and Restated Certificate of Incorporation with the Secretary of State of the State of Delaware to effect same; the Stock Split was implemented on September 19, 2024. A copy of the amendment is filed as Exhibit 3.3 attached 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Due to prior noncompliance with certain Nasdaq listing rules, we had a hearing before The Nasdaq Hearings Panel (the “Panel”), on September 19, 2024. Following that hearing, the Panel determined to phase our Common Stock down from The Nasdaq Global Market to The Nasdaq Capital Market. As of October 31, 2024, our Common Stock trades on The Nasdaq Capital Market, under the same symbol, BNZI.</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On October 18, 2024, the Company received a letter from Nasdaq stating that the Company has regained compliance with Nasdaq Listing Rule 5450(a)(1) (the “Minimum Bid Price Requirement”) by maintaining a minimum closing bid price of the Company’s common stock (the “Common Stock”) of $1.00 or greater per share for the 10 consecutive business days, from September 19, 2024 through October 18, 2024, and that the Minimum Bid Price Requirement matter is now closed. The Company must still regain compliance with Listing Rule 5450(b)(2)(A) (the (“Market Value of Listed Securities”).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On November 7, 2024, the Company also received a letter from the staff at Nasdaq in relation to a letter from April 3, 2024, notifying the Company that, for the 10 consecutive trading days, from October 24, 2024 to November 6, 2024, the Company's MVPHS had been $1,000,000 or greater, and as such the staff determined that the Company had regained compliance with Listing Rule 5550(a)(5) and the matter was closed.</w:t>
      </w:r>
    </w:p>
    <w:p>
      <w:pPr>
        <w:spacing w:after="0" w:line="176"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212529"/>
        </w:rPr>
        <w:t>On November 7, 2024, Nasdaq determined that for the 10 consecutive trading days, from October 24, 2024 to November 6, 2024, the Company’s MVPHS has been $1,000,000 or greater and therefore the Company regained compliance with Listing Rule 5550(a)(5) (the equivalent of Listing Rule 5450(b)(2)(A) for the Capital Markets) and the matter is closed.</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12, 2025, the Company received a letter from the Nasdaq Stock Market LLC, Office of the General Counsel that Nasdaq’s Listing Qualifications staff confirmed that the Company has demonstrated compliance with all of The Nasdaq Stock Market’s listing requirements and therefore the Company’s securities will remain listed on the Exchange. However, there can be no assurance that the Company will be able to maintain compliance with Nasdaq listing standards. Please see “Risk Factors” for more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and are also available free of charge on our corporate website (</w:t>
      </w:r>
      <w:r>
        <w:rPr>
          <w:rFonts w:ascii="Times New Roman" w:cs="Times New Roman" w:eastAsia="Times New Roman" w:hAnsi="Times New Roman"/>
          <w:sz w:val="18"/>
          <w:szCs w:val="18"/>
          <w:i w:val="1"/>
          <w:iCs w:val="1"/>
          <w:color w:val="auto"/>
        </w:rPr>
        <w:t>https://ir.banzai.io/financial-information/sec-filings</w:t>
      </w:r>
      <w:r>
        <w:rPr>
          <w:rFonts w:ascii="Times New Roman" w:cs="Times New Roman" w:eastAsia="Times New Roman" w:hAnsi="Times New Roman"/>
          <w:sz w:val="18"/>
          <w:szCs w:val="18"/>
          <w:color w:val="auto"/>
        </w:rPr>
        <w:t>) as soon as reasonably practicable after they are electronically filed with or furnished to the SEC. The foregoing website addresses are provided as inactive textual references only. The information provided on our website (or any other website referred to in this report) is not part of this Report and is not incorporated by reference as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or sell our securities, in addition to the risks and uncertainties discussed above under “Cautionary Note Regarding Forward-Looking Statements” above,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are not the only risks and uncertainties that we face. Additional risks and uncertainties not presently known to us or that we currently believe to be immaterial may become material and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Factors Summary</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materially adversely affect our business, financial condition or results of operations in future periods. The summary should be read together with the more detailed description of each risk factor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960" w:hanging="5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in the past and may never achieve or maintain profitability.</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offerings, which makes it difficult to evaluate our current and future business prospects and increases the risk of your investment.</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depends on existing customers renewing and maintaining or expanding their subscriptions, and if we fail to retain our customers at current or expanded subscriptions, our business will be harmed.</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on a cost-effective basis, our business will be harmed.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our business, results of operations, and financial condition may be harmed.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execute on our growth initiatives, business strategies, or operating plans.</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assumptions, analyses, and estimates upon which our forecasts, projections and outlook are based prove to be incorrect or inaccurate, our actual results may differ materially from those forecasted or projected.</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personnel, our business could be harmed.</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a limited history working together operating the Company and, as a result, our past results may not be indicative of future operating performance.</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spacing w:after="0" w:line="53"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fund our development efforts, we may not be able to compete effectively and our business and operating results may be harmed.</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of, and investments in, other businesses, products, or technologies may not yield expected benefits and our inability to successfully integrate acquisitions may negatively impact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jc w:val="both"/>
        <w:ind w:left="960" w:hanging="512"/>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spacing w:after="0" w:line="6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6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revenue from subscriptions for our product offerings over the terms of the subscriptions, our financial results in any period may not be indicative of our financial health and future performance.</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can be lengthy and unpredictable, which may cause our operating results to vary significantly.</w:t>
      </w:r>
    </w:p>
    <w:p>
      <w:pPr>
        <w:spacing w:after="0" w:line="117" w:lineRule="exact"/>
        <w:rPr>
          <w:rFonts w:ascii="Times New Roman" w:cs="Times New Roman" w:eastAsia="Times New Roman" w:hAnsi="Times New Roman"/>
          <w:sz w:val="18"/>
          <w:szCs w:val="18"/>
          <w:color w:val="auto"/>
        </w:rPr>
      </w:pPr>
    </w:p>
    <w:p>
      <w:pPr>
        <w:jc w:val="both"/>
        <w:ind w:left="960" w:right="20" w:hanging="512"/>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spacing w:after="0" w:line="67" w:lineRule="exact"/>
        <w:rPr>
          <w:rFonts w:ascii="Times New Roman" w:cs="Times New Roman" w:eastAsia="Times New Roman" w:hAnsi="Times New Roman"/>
          <w:sz w:val="18"/>
          <w:szCs w:val="18"/>
          <w:color w:val="auto"/>
        </w:rPr>
      </w:pPr>
    </w:p>
    <w:p>
      <w:pPr>
        <w:jc w:val="both"/>
        <w:ind w:left="960" w:hanging="512"/>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spacing w:after="0" w:line="71"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security breaches and ransomware attacks may create financial liabilities for us, damage our reputation, and harm our business.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laws and regulations could impose additional costs and reduce demand for our solutions.</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offerings, solutions, and internal systems, as well as external internet infrastructure, may be subject to disruption that could harm our reputation and future sales or result in claims against us.</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defects in our product offerings could harm our reputation or decrease market acceptance of our product offerings, which would harm our business and results of operations.</w:t>
      </w:r>
    </w:p>
    <w:p>
      <w:pPr>
        <w:spacing w:after="0" w:line="53"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maintain and enhance our brands, our business may suffer.</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to offset future taxable income may be subject to certain limitations.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continue making significant investments in software development and equipment to improve our business.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results could have a material adverse impact on our business.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could harm our business and results of operations.</w:t>
      </w:r>
    </w:p>
    <w:p>
      <w:pPr>
        <w:spacing w:after="0" w:line="117"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or otherwise violating their intellectual property rights, the outcome of which would be uncertain and could harm our business.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adversely affect our ability to offer our solutions and subject us to possible litigation.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Securities</w:t>
      </w:r>
    </w:p>
    <w:p>
      <w:pPr>
        <w:spacing w:after="0" w:line="229" w:lineRule="exact"/>
        <w:rPr>
          <w:sz w:val="20"/>
          <w:szCs w:val="20"/>
          <w:color w:val="auto"/>
        </w:rPr>
      </w:pPr>
    </w:p>
    <w:p>
      <w:pPr>
        <w:jc w:val="both"/>
        <w:ind w:left="960" w:hanging="512"/>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Class A Common Stock may depress their stock price.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(as defined below) may delist our securities from trading on its exchange, which could limit investors’ ability to make transactions in our securities and subject us to additional trading restrictions.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Class A Common Stock ceases to be listed on a national securities exchange it will become subject to the so-called “penny stock” rules that impose restrictive sales practice requirements.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has the effect of concentrating voting power with our Chief Executive Officer and Co-Founder, Joseph Davy, which limits an investor’s ability to influence the outcome of important transactions, including a change in control.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impact our dual class structure will have on the market price of Class A Common Stock.</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“controlled company” within the meaning of Nasdaq listing rules, we qualify for exemptions from certain corporate governance requirements and have the opportunity to elect to avail ourselves of any of the exemptions afforded a controlled company. If we elect to rely on some of these exemptions, our stockholders will not have the same protections afforded to stockholders of companies that are subject to such requirements.</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Class A Common Stock is likely to be highly volatile, and you may lose some or all of your investment.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Class A Common Stock could subject us to securities class action litigation.</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us, or publish negative reports, then our stock price and trading volume could decline.</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and demands upon management as a result of complying with the laws and regulations affecting public companies, which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holders of 5% or more of the outstanding shares of Class A Common Stock collectively beneficially own approximately 65.31% of the outstanding Class A Common Stock and have substantial control over us, which will limit your ability to influence the outcome of important transactions, including a change in control.</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currently anticipated that we will pay dividends on shares of Class A Common Stock, and, consequently, your ability to achieve a return on your investment will depend on appreciation, if any, in the market price of Class A Common Stock.</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General Corporation Law (“DGCL”) and our Second Amended and Restated Certificate of Incorporation (“Charter”) and Second Amended and Restated Bylaws (“Bylaws”) contain certain provisions, including anti-takeover provisions, that limit the ability of stockholders to take certain actions and could delay or discourage takeover attempts that stockholders may consider favorable.</w:t>
      </w:r>
    </w:p>
    <w:p>
      <w:pPr>
        <w:spacing w:after="0" w:line="6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6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forum clause set forth in the Warrant Agreement may have the effect of limiting an investor’s rights to bring legal action and could limit the investor’s ability to obtain a favorable judicial forum.</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smaller reporting company, and we cannot be certain if the reduced reporting requirements applicable to emerging growth companies and smaller reporting companies will make our shares less attractive to investors.</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201" w:right="339" w:bottom="1440" w:gutter="0" w:footer="0" w:header="0"/>
        </w:sectPr>
      </w:pPr>
    </w:p>
    <w:bookmarkStart w:id="14" w:name="page15"/>
    <w:bookmarkEnd w:id="14"/>
    <w:p>
      <w:pPr>
        <w:ind w:left="960" w:hanging="51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prove to be incorrect or financial reporting standards or interpretations change, our results of operations could be adversely affected.</w:t>
      </w:r>
    </w:p>
    <w:p>
      <w:pPr>
        <w:spacing w:after="0" w:line="53"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p>
      <w:pPr>
        <w:spacing w:after="0" w:line="6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your unexpired Public Warrants prior to their exercise at a time that is disadvantageous to you, thereby making your Public Warrants worthless.</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Common Stock or Preferred Stock, including under our equity incentive plan. Any such issuances would dilute the interest of our stockholders and likely present other risks.</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Class A Common Stock in the public market pursuant to our effective registration statement could reduce the market price of Class A Common Stock.</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certain holders of the Class A Common Stock sell a significant portion of their securities, it may negatively impact the market price of the shares of the Class A Common Stock and such holders still may receive significant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may never achieve or maintain profitability.</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including operating losses of $13.5 million, and $9.8 million, in the years ended December 31, 2024, and 2023,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2024 and 2023,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Common Stock.</w:t>
      </w:r>
    </w:p>
    <w:p>
      <w:pPr>
        <w:spacing w:after="0" w:line="18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spacing w:after="0" w:line="17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Management has concluded, and the report of our auditors included in this Annual Report on Form 10-K reflect, that there is substantial doubt about our ability to continue as a going concern within 12 months after the date of this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offerings, which makes it difficult to evaluate our current and future business prospects and increases the risk of your investment.</w:t>
      </w:r>
    </w:p>
    <w:p>
      <w:pPr>
        <w:spacing w:after="0" w:line="15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While we served our first customer in 2017 (operating as Legacy Banzai), we have significantly altered our product offerings over the past few years and our limited operating history with respect to our current product offerings makes it difficult to effectively assess or forecast our future prospects. Legacy Banzai </w:t>
      </w:r>
      <w:r>
        <w:rPr>
          <w:rFonts w:ascii="Times New Roman" w:cs="Times New Roman" w:eastAsia="Times New Roman" w:hAnsi="Times New Roman"/>
          <w:sz w:val="18"/>
          <w:szCs w:val="18"/>
          <w:color w:val="212529"/>
        </w:rPr>
        <w:t>was a marketing technology (“MarTech”) company that produced data-driven marketing and sales solutions for businesses of all sizes; i</w:t>
      </w:r>
      <w:r>
        <w:rPr>
          <w:rFonts w:ascii="Times New Roman" w:cs="Times New Roman" w:eastAsia="Times New Roman" w:hAnsi="Times New Roman"/>
          <w:sz w:val="18"/>
          <w:szCs w:val="18"/>
          <w:color w:val="auto"/>
        </w:rPr>
        <w:t>n 2021, we acquired Demio, a webinar platform startup, and integrated Demio’s platform into our service offerings, and in 2023, we launched Boost, a tool used by Demio customers to enhance participation in their Demio webinars; since then, we have acquired additional products and services that differ from our original business. For example, in 2024 we acquired ClearDoc, Inc., d/b/a OpenReel, a video creation and management solution and in 2025 we acquired Vidello Ltd., a video hosting and marketing suite.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rate depends on existing customers renewing and maintaining or expanding their subscriptions, and if we fail to retain our customers at current or expanded subscriptions, our business will be harmed.</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on a cost-effective basis, our business will be harmed.</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results of operations, and financial condition would likely be harmed.</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spacing w:after="0" w:line="15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personnel, our business could be harmed.</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a limited history working together operating the Company and, as a result, our past results may not be indicative of future operating performance.</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Report.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is dependent on adequate development resources. If we do not adequately fund our development efforts, we may not be able to compete effectively and our business and operating results may be harmed.</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of, and investments in, other businesses, products, or technologies may not yield expected benefits and our inability to successfully integrate acquisitions may negatively impact our business, financial condition, and results of operations.</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the past, we have pursued acquisitions of technology and expertise to enhance the products and services we offer. For example, in 2021, we acquired webinar platform startup Demio and integrated Demio’s platform into our service offerings.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spacing w:after="0" w:line="188" w:lineRule="exact"/>
        <w:rPr>
          <w:sz w:val="20"/>
          <w:szCs w:val="20"/>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resulting from our acquisitions;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acquired businesses;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operations, personnel, technologies, or products;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existing business operations and strategy;</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that are needed in other parts of our business, including integration of other acquisitions;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transitioning acquired technology and related infrastructures into our existing product offerings;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maintaining security and privacy standards of acquired technology consistent with our existing products;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financial and credit risks associated with the acquired businesses or their customers;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internal controls, procedures, and policies at the acquired companies;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960" w:hanging="51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additional laws and regulations applicable to the acquired businesses;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and indirect tax impacts of any such acquisitions.</w:t>
      </w:r>
    </w:p>
    <w:p>
      <w:pPr>
        <w:spacing w:after="0" w:line="22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find attractive targets for future acquisitions.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spacing w:after="0" w:line="1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competitors include:</w:t>
      </w:r>
    </w:p>
    <w:p>
      <w:pPr>
        <w:spacing w:after="0" w:line="225" w:lineRule="exact"/>
        <w:rPr>
          <w:sz w:val="20"/>
          <w:szCs w:val="20"/>
          <w:color w:val="auto"/>
        </w:rPr>
      </w:pPr>
    </w:p>
    <w:p>
      <w:pPr>
        <w:ind w:left="960" w:hanging="51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Adobe, Vimeo, Zoom, and GoToWebinar with respect to video platforms;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Mailchimp and Constant Contact with respect to email marketing;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Marketo, Hubspot, and Braze with respect to marketing automation platforms.</w:t>
      </w:r>
    </w:p>
    <w:p>
      <w:pPr>
        <w:spacing w:after="0" w:line="22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spacing w:after="0" w:line="19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5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Common Stock to fluctuate. Factors that may contribute to the variability of our operating results include:</w:t>
      </w:r>
    </w:p>
    <w:p>
      <w:pPr>
        <w:spacing w:after="0" w:line="183" w:lineRule="exact"/>
        <w:rPr>
          <w:sz w:val="20"/>
          <w:szCs w:val="20"/>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current and potential customers;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and implementation cycles;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expansions of our product offerings, offerings, or challenges with their introduction;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or fee structures or those of our competitors;</w:t>
      </w:r>
    </w:p>
    <w:p>
      <w:pPr>
        <w:spacing w:after="0" w:line="117"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offering introductions by us or our competitors or any other change in the competitive landscape of our industry;</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that we may incur to grow and expand our operations and to remain competitive;</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information security or privacy;</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stock-based compensation expenses;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expansion of our business;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ongoing or future regulatory investigations or examinations, or of future litigation;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accounting estimates and appropriately recognize revenue for our existing and future offerings;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financial markets;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 and international;</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financial markets;</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terrorist activities and outbreaks of public health threats, such as coronavirus, influenza, or other highly communicable diseases or viruses, and any disruption these events may cause to the global economy; and</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product offerings over the terms of the subscriptions, our financial results in any period may not be indicative of our financial health and future performance.</w:t>
      </w:r>
    </w:p>
    <w:p>
      <w:pPr>
        <w:spacing w:after="0" w:line="15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generally recognize revenue from subscription fees paid by customers ratably over the terms of their subscription agreements. As a result, most of the subscription revenue we report in each quarter is the result of agreements entered into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lengthy and unpredictable, which may cause our operating results to vary significantly.</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spacing w:after="0" w:line="17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February 19, 2021, we entered into the Loan Agreement with CP BF. The Loan Agreement contains a number of provisions that impose operating and financial restrictions which, subject to certain exceptions, limit our ability to, among other things: incur additional indebtedness, pay dividends or make distributions or redeem or repurchase our securities, make certain investments, grant liens on assets, sell or dispose of any material assets; and acquire the assets of, or merge or consolidate with, other companies. Additionally, the Loan Agreement contains affirmative covenants that require to us take, and have taken by certain dates, specific actions, some of which have not been satisfied. As a result, on August 24, 2023, we entered into the Original Forbearance Agreement, as amended by the Forbearance Amendment dated as of December 14, 2023, under which we acknowledged that we were in default of several obligations and such holder acknowledged such defaults and agreed, subject to certain conditions, not to exercise any right or remedy under the Loan Agreement, including its right to accelerate the aggregate amount outstanding under the Loan Agreement, until June 14, 2024.</w:t>
      </w:r>
    </w:p>
    <w:p>
      <w:pPr>
        <w:spacing w:after="0" w:line="19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Complying with these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If we do not maintain and regain compliance with our continuing obligations or any covenants, terms and conditions of the Loan Agreement, after the expiration of the Forbearance Agreement, we could be in default and required to repay outstanding borrowings on an accelerated basis, which could subject us to decreased liquidity and other negative impacts on our business, results of operations and financial condition. In the case of an event of default, we may not have sufficient funds available to make the required payments under the Loan Agreement and may not be able to borrow sufficient funds to refinance the Loan Agreement. Even if new financing is available, it may not be on terms that are acceptable to us. If we are unable to repay amounts owed under the terms of the Loan Agreement, our Lender may choose to exercise its remedies in respect to the collateral, including a foreclosure of their lien (which may result in a sale of certain of our assets to satisfy our obligations under the Loan Agreement or ultimately in a bankruptcy or liquidation). The foregoing would materially and adversely affect the ongoing viability of our business.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have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as well as in several international countries, commercial and non-profit customers. As a result, our business may be harmed 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harm our business.</w:t>
      </w:r>
    </w:p>
    <w:p>
      <w:pPr>
        <w:spacing w:after="0" w:line="180"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spacing w:after="0" w:line="19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and data security breaches and ransomware attacks may create financial liabilities for us, damage our reputation, and harm our business.</w:t>
      </w:r>
    </w:p>
    <w:p>
      <w:pPr>
        <w:spacing w:after="0" w:line="15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 security. Any of these occurrences could create liability for us, put our reputation in jeopardy, and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laws and regulations could impose additional costs and reduce demand for our solutions.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store and transmit personal information relating to our employees, customers, prospective customers, and other individuals, and our customers use our technology platform to store and transmit a significant amount of personal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offerings, solutions, and internal systems, as well as external internet infrastructure, may be subject to disruption that could harm our reputation and future sales or result in claims against us.</w:t>
      </w:r>
    </w:p>
    <w:p>
      <w:pPr>
        <w:spacing w:after="0" w:line="15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defects in our product offerings could harm our reputation or decrease market acceptance of our product offerings, which would harm our business and results of operations.</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spacing w:after="0" w:line="1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 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maintain and enhance our brands, our business may suffer.</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services could adversely affect our relationships with our customers and our operating results.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to offset future taxable income may be subject to certain limitations.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Consequently, even if we achieve profitability, we may not be able to utilize a material portion of our NOL carryforwards and other tax attributes, which could have a material adverse effect on cash flow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make significant investments in software development and equipment to improve our business.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litigation results could have a material adverse impact on our business.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intellectual property rights could harm our business and results of operations.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2024,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prove to be inadequate. We strive to protect certain of our intellectual property rights through filing applications for trademarks, patents, and domain names in a number of jurisdictions, a process that is expensive and may not be successful in all jurisdictions. However, there is no assurance that any resulting patents or other intellectual property rights will adequately protect our intellectual property, or provide us with any competitive advantages. Moreover, we cannot guarantee that any of our pending patent or trademark applications will issue or be approved. Even where we have intellectual property rights,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In such an event, our competitors might be able to develop and commercialize substantially similar and competing applications, which would harm our business.</w:t>
      </w:r>
    </w:p>
    <w:p>
      <w:pPr>
        <w:spacing w:after="0" w:line="18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spacing w:after="0" w:line="192"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Common Stock. If we fail to maintain, protect, and enhance our intellectual property rights, our business may be harmed and the market price of Common Stock could decline.</w:t>
      </w:r>
    </w:p>
    <w:p>
      <w:pPr>
        <w:spacing w:after="0" w:line="19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or otherwise violating their intellectual property rights, the outcome of which would be uncertain and could harm our business.</w:t>
      </w:r>
    </w:p>
    <w:p>
      <w:pPr>
        <w:spacing w:after="0" w:line="15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spacing w:after="0" w:line="176"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spacing w:after="0" w:line="19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solutions and subject us to possible litigation.</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spacing w:after="0" w:line="18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spacing w:after="0" w:line="15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the years ended December 31, 2024 and 2023, Legacy Banzai's net cash used in operating activities was $9.6 million and $1.6 million, respectively. As of December 31, 2024 and 2023, Legacy Banzai had $1.1 million and $2.1 million of cash, respectively, which were held for working capital purposes. As of December 31, 2024 and 2023, Legacy Banzai had borrowings of $8.9 million and $16.2 million, respectively, outstanding under its term loans and promissory notes.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may be significantly different from previous estimates and will depend on many factors, including the need to:</w:t>
      </w:r>
    </w:p>
    <w:p>
      <w:pPr>
        <w:spacing w:after="0" w:line="225" w:lineRule="exact"/>
        <w:rPr>
          <w:sz w:val="20"/>
          <w:szCs w:val="20"/>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product offerings;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joint ventures and co-investments;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additional implementation engagements;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technologies, products, or services.</w:t>
      </w:r>
    </w:p>
    <w:p>
      <w:pPr>
        <w:spacing w:after="0" w:line="22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 to secure additional funds. We entered into the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spacing w:after="0" w:line="18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including shares of Common Stock issued in connection with advances under the SEPA or upon exercise of the GEM Warrant (as defined below), our existing stockholders could suffer significant dilution, and any new equity securities we issue could have rights, preferences, and privileges superior to those of holders of shares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Common Stock may depress their stock price.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Future sales of shares of Common Stock in the public market, including the resale of shares pursuant to our effective registration statements or pursuant to Rule 144, could depress the stock price. See “Sales of a substantial number of shares of Common Stock in the public market pursuant to our registration statements could reduce the market price of Common Stock.”</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Banzai, including Legacy Banzai’s officers, directors, and certain holders of 10% or more of the outstanding shares of Legacy Banzai Common Stock as of the date of the Merger Agreement, entered into the lock-up agreements effective as of the Closing Date (the “Lock-Up Agreements”). Pursuant to the Lock-Up Agreements, such stockholders agree not to, without our prior written consent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such closing, (ii) enter into any swap or other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However, equity holders not subject to a lock-up and, following the expiration of the applicable lock-up periods, such equity holders referred to above will not be restricted from selling shares of our Common Stock held by them, other than by applicable securities laws, and sales could occur at any time and such sales could depress the stock price.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Issuances of shares of our Common Stock pursuant to any Advances under the SEPA and conversion of any amounts under the Yorkville Promissory Notes, exercise of the GEM Warrant and conversion of any amounts under the GEM Promissory Note, and conversion of any amounts under the Senior Convertible Notes would result in substantial dilution of our stockholders and may have a negative impact on the market price of our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Closing of the 7GC merger, the Senior Convertible Notes and the obligation to issue the GEM Warrant automatically became our obligation. On December 15, 2023, we issued the GEM Warrant, exercisable into 16,571 shares of Common Stock at an initial exercise price of $324.50 per share, which was later adjusted to $1.83 per share, pursuant to the adjustment provisions of the GEM Warrant. GEM may exercise the GEM Warrant or redemption (the “GEM Warrant”) at any time and from time to time until December 14, 2026.</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5, 2024, we issued the GEM Promissory Note, which is convertible upon nonpayment of and in lieu of a monthly payment in the amount of $100,000, payable for ten months on the first of the month starting on March 1, 2024. The GEM Promissory Note provides for the issuance of shares of Common Stock at a conversion price equal to the VWAP of the trading day immediately preceding the applicable payment due date. As of the date of this Report, we have issued an aggregate of 190,000 shares of Common Stock to GEM in lieu of monthly payment obligations for a total of $784,943. The remaining balance of $215,057 was settled in cash and there is no outstanding balance as of April 10, 2025.</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Further, the shares of Common Stock issuable pursuant to the Senior Convertible Notes, to the extent exercised, converted and issued, would impose significant dilution on our stockholders. As of the date of this report, up to 2,223,671 additional shares of Common Stock may be issued assuming full conversion (and no adjustments to the conversion price thereof) of the Senior Convertible Notes, which would reflect approximately 14.76% of the outstanding shares of our Common Stock as of April 10, 2025 after giving effect to such issuance.</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Pursuant to the SEPA, subject to certain conditions and Yorkville’s right to require issuances while its promissory notes are outstanding, we have the option, but not the obligation, to sell to Yorkville, and Yorkville will subscribe for, an aggregate amount of up to $100,000,000 of shares of Common Stock, at our request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Common Stock to be issued pursuant to such Advance Notice, and (z) other customary conditions precedent are satisfied. The price at which we may issue and sell shares pursuant to an Advance under the SEPA may be at either (a) Pricing Option 1 or (b) Pricing Option 2, provided that we are subject to certain caps on the amount of shares of Common Stock that we may sell pursuant to any advance under the SEPA.</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Additionally, at any time during the commitment period, provided there is a balance remaining outstanding under a Yorkville Promissory Note, Yorkville may deliver an Investor Notice, causing an Advance Notice to be deemed delivered to Yorkville, subject to certain conditions. The aggregate principal amount has been fully satisfied with no remaining outstanding balance under the Yorkville Promissory Notes. In addition, 14,201 shares of Common Stock had been issued in satisfaction of a deferred fee payment in the amount of $500,000. Assuming that (a) we issue and sell the full $100 million of shares of Common Stock under the SEPA to Yorkville, (b) there are no beneficial ownership limitations, and (c) the issue price for such sales is $1.00 or $3.00 per share, such additional issuances would represent in the aggregate approximately 1,871,056 or 623,685 additional shares of Common Stock, respectively, or approximately 13% or 5% of the total number of shares of Common Stock outstanding as of April 10, 2025, after giving effect to such issuance.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Common Stock ceases to be listed on a national securities exchange it will become subject to the so-called “penny stock” rules that impose restrictive sales practice requirements.</w:t>
      </w:r>
    </w:p>
    <w:p>
      <w:pPr>
        <w:spacing w:after="0" w:line="15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If we are unable to maintain the listing of our Common Stock on The Nasdaq Capital Market or another national securities exchange, our Common Stock could become subject to the so-called “penny stock” rules if the shares have a market value of less than $5.00 per share. The SEC has adopted regulations that define a penny stock to include any stock that has a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common stock structure has the effect of concentrating voting power with our Chief Executive Officer and Co-Founder, Joseph Davy, which limits an investor’s ability to influence the outcome of important transactions, including a change in control.</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Shares of our Class B Common Stock have 10 votes per share, while shares of our Common Stock have one vote per share; shares of our Series FE Preferred Stock have no voting rights. Mr. Davy, who is our Chief Executive Officer and is Legacy Banzai’s Co-Founder, including his affiliates and permitted transferees, holds all of the issued and outstanding shares of Class B Common Stock. Accordingly, Mr. Davy held, directly or indirectly, approximately 65.13% of our outstanding voting power as of April 10, 2025 and is able to control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concentrated control may have the effect of delaying, preventing, or deterring a change in control, could deprive our stockholders of an opportunity to receive a premium for their capital stock as part of a sale, and might ultimately affect the market price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highly volatile, and you may lose some or all of your investment.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and may continue to fluctuate, significantly due to a number of factors, some of which may be beyond our control, including those factors discussed in this “Risk Factors” section and many others, such as:</w:t>
      </w:r>
    </w:p>
    <w:p>
      <w:pPr>
        <w:spacing w:after="0" w:line="162" w:lineRule="exact"/>
        <w:rPr>
          <w:sz w:val="20"/>
          <w:szCs w:val="20"/>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its quarterly and annual results;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its competitors in general;</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its other public announcements and its filings with the SEC;</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it may otherwise provide to the public;</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Class A Common Stock;</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pandemics, epidemics or other public health emergencies;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events or factors, many of which are beyond our control;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could subject us to securities class action litigation.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then our stock price and trading volume could decline.</w:t>
      </w:r>
    </w:p>
    <w:p>
      <w:pPr>
        <w:spacing w:after="0" w:line="15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Common Stock or change their opinion, then the market price of our Common Stock would likely decline. If one or more of these analysts cease coverage of us or fail to regularly publish reports on us, we could lose visibility in the financial markets, which could cause the market price of our Common Stock or trading volume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spacing w:after="0" w:line="192"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(our “Board”), particularly to serve on our audit committee and compensation committee, and qualified executive officers. As a result of disclosure of information in this Report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and results of operations could be harmed, and even if the claims do not result in litigation or are resolved in our favor, these claims, and the time and resources necessary to resolve them, could divert the resources of its management and harm our business.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1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Legacy Banzai did not design or maintain an effective control environment under the rules and regulations of the SEC. Accordingly and specifically,</w:t>
      </w:r>
    </w:p>
    <w:p>
      <w:pPr>
        <w:spacing w:after="0" w:line="27" w:lineRule="exact"/>
        <w:rPr>
          <w:sz w:val="20"/>
          <w:szCs w:val="20"/>
          <w:color w:val="auto"/>
        </w:rPr>
      </w:pPr>
    </w:p>
    <w:p>
      <w:pPr>
        <w:jc w:val="both"/>
        <w:ind w:firstLine="8"/>
        <w:spacing w:after="0" w:line="252" w:lineRule="auto"/>
        <w:tabs>
          <w:tab w:leader="none" w:pos="2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&amp; revenue recognition.</w:t>
      </w:r>
    </w:p>
    <w:p>
      <w:pPr>
        <w:spacing w:after="0" w:line="19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8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Common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collectively beneficially own approximately 65.31% of the voting power of our outstanding Common Stock and have substantial control over us, which will limit your ability to influence the outcome of important transactions, including a change in control.</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in the aggregate, beneficially own approximately 65.31% of the voting power of our outstanding shares of Common Stock as of the date of this Report, based on the number of shares outstanding as of April 10, 2025. As a result, these stockholders, if acting together, will be able to influence or control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in control of the Company, could deprive our stockholders of an opportunity to receive a premium for their Common Stock as part of a sale of the Company, and might ultimately affect the market price of our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currently anticipated that we will pay dividends on shares of our Common Stock, and, consequently, your ability to achieve a return on your investment will depend on appreciation, if any, in the market price of Common Stock.</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Common Stock. There is no guarantee that shares of Common Stock will appreciate in value or even maintain the price at which stockholders have purchased their shares of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DGCL and our Charter and Bylaws contain certain provisions, including anti-takeover provisions, that limit the ability of stockholders to take certain actions and could delay or discourage takeover attempts that stockholders may consider favorable.</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Charter, our Bylaws and the DGCL contain provisions that could have the effect of rendering more difficult, delaying, or preventing an acquisition deemed undesirable by the Board and therefore depress the trading price of our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spacing w:after="0" w:line="180" w:lineRule="exact"/>
        <w:rPr>
          <w:sz w:val="20"/>
          <w:szCs w:val="20"/>
          <w:color w:val="auto"/>
        </w:rPr>
      </w:pPr>
    </w:p>
    <w:p>
      <w:pPr>
        <w:ind w:left="960" w:hanging="51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of our Class B Common Stock are entitled to 10 votes per share;</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stockholders to take action by written consent in lieu of a meeting;</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jc w:val="both"/>
        <w:ind w:left="960" w:right="20" w:hanging="512"/>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w:t>
      </w:r>
    </w:p>
    <w:p>
      <w:pPr>
        <w:spacing w:after="0" w:line="117"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960" w:hanging="512"/>
        <w:spacing w:after="0" w:line="261"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constituting an “acquiring person” for a period of five years following the date on which the stockholder became an “acquiring person.”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Board or our management.</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1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the reduced reporting requirements applicable to emerging growth companies and smaller reporting companies may make our shares of Common Stock less attractive to investors.</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We will remain an emerging growth company until the earlier of: (i) the last day of the fiscal year (a) following the fifth anniversary of the closing of 7GC’s initial public offering (December 22, 2025), (b) in which we have total annual gross revenue of at least $1.235 billion, or (c) in which we are deemed to be a large accelerated filer, which means the market value of our common equity that is held by non-affiliates exceeds $700.0 million as of the last business day of our most recently completed second fiscal quarter; and (ii) the date on which we have issued more than $1.0 billion in non-convertible debt securities during the prior three-year period.</w:t>
      </w:r>
    </w:p>
    <w:p>
      <w:pPr>
        <w:spacing w:after="0" w:line="18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have elected to use this extended transition period for complying with new or revised accounting standards and, therefore, we will not be subject to the same new or revised accounting standards as other public companies that are not emerging growth companies.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Even after we no longer qualify as an emerging growth company, we may still qualify as a smaller reporting company, which would allow us to take advantage of many of the same exemptions from disclosure requirements, including exemption from compliance with the auditor attestation requirements of Section 404 of the Sarbanes-Oxley Act and reduced disclosure obligations regarding executive compensation in this Report and our other periodic reports and proxy statements.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If some investors find Common Stock less attractive as a result, there may be a less active trading market for Common Stock and its market price may be more volatile.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“Management’s Discussion and Analysis of Financial Condition and Results of Operations-Critical Accounting Estimates.”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warrants and SAFEs, including the valuation of the bifurcated embedded derivatives liabilities, and measurement and recognition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Preferred Stock, including under our equity incentive plan. Any such issuances would dilute the interest of our stockholders and likely present other risks.</w:t>
      </w:r>
    </w:p>
    <w:p>
      <w:pPr>
        <w:spacing w:after="0" w:line="15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Common Stock or Preferred Stock, including under our 2023 Equity Incentive Plan. On February 28, 2025, at the special shareholder meeting, our shareholders approved to increase the number of shares available for issuance under our 2023 Equity Incentive Plan to 10,000,000. The 2023 Equity Incentive Plan had 6,943,442 unissued shares authorized as of April 10, 2025. Any such issuances of additional shares of Common Stock or Preferred Stock:</w:t>
      </w:r>
    </w:p>
    <w:p>
      <w:pPr>
        <w:spacing w:after="0" w:line="180" w:lineRule="exact"/>
        <w:rPr>
          <w:sz w:val="20"/>
          <w:szCs w:val="20"/>
          <w:color w:val="auto"/>
        </w:rPr>
      </w:pPr>
    </w:p>
    <w:p>
      <w:pPr>
        <w:ind w:left="960" w:hanging="5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preferred stock is issued with rights senior to those afforded our Common Stock;</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Common Stock and/or Public Warrants.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Common Stock in the public market pursuant to our registration statements could reduce the market price of Common Stock.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Common Stock in the public market pursuant to our filed and effective Registration Statements on Form S-1 (the “S-1 Registration Statements”) could occur at any time. These sales, or the perception in the market that the holders of a large number of shares of Common Stock intend to sell shares, could reduce the market price of Common Stock. In particular, until such time as it is no longer effective, the S-1 Registration Statements permit the resale of shares held by Mr. Joseph Davy, who holds approximately 17.28% of outstanding Common Stock of the Company, including shares of both Class A Common Stock and Class B Common Stock and approximately 65.13% of our outstanding voting power, subject, in each case, to the applicable lock-up periods. The resale, or expected or potential resale, of a substantial number of shares of our Common Stock in the public market could adversely affect the market price for Common Stock and make it more difficult for you to sell your holdings at times and prices that you determine are appropriate. Furthermore, we expect that, because there is a large number of shares registered pursuant to the S-1 Registration Statements, the selling securityholders will continue to offer the securities covered thereby pursuant to the S-1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holders of Common Stock sell a significant portion of their securities, it may negatively impact the market price of the shares of Common Stock and such holders still may receive significant proceeds.</w:t>
      </w:r>
    </w:p>
    <w:p>
      <w:pPr>
        <w:spacing w:after="0" w:line="15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of the date of this Report, the market price of our Common Stock is below $10.00 per share, which was the price per unit sold in the IPO, the per-share value of the consideration issued to Legacy Banzai stockholders upon consummation of the Business Combination. However, certain of our stockholders hold shares of Common Stock that were originally purchased by the Sponsor in a private placement prior to the IPO (“Founder Shares”) and may nonetheless be inclined to sell such Founder Shares, as they were originally purchased at an effective price significantly less than $10.00 per share. As of December 31, 2024, there is no outstanding Common Stock pertaining to the Founder Shares.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SEPA, or the actual gross proceeds resulting from those sales. Further, we may not have access to any or the full amount available under the SEPA.</w:t>
      </w:r>
    </w:p>
    <w:p>
      <w:pPr>
        <w:spacing w:after="0" w:line="15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December 14, 2023, we entered into the SEPA with Yorkville, pursuant to which Yorkville has committed to purchase up to $100 million of Common Stock, pursuant to Advance Notices delivered by the Company any time during the commitment period terminating on the 36-month anniversary of the SEPA; provided that any Advance Notice may only be made if (x) no amount remains outstanding on the Yorkville Promissory Notes, (y) there is an effective Resale Registration Statement filed with the SEC for the resale under the Securities Act of the shares of Common Stock to be issued pursuant to such Advance Notice, and (z) other customary conditions precedent. Additionally, at any time during the commitment period, provided there is a balance remaining outstanding under a Yorkville Promissory Note, Yorkville may deliver an Investor Notice, causing an Advance Notice to be deemed delivered to Yorkville, subject to certain conditions.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Save for the issuance of shares of Common Stock following receipt of an Investor Notice (as defined in the SEPA) or pursuant to conversion of a Yorkville Promissory Note, we generally have the right to control the timing and amount of any sales of shares of Common Stock to Yorkville under the SEPA. Sales of Common Stock, if any, to Yorkville under the SEPA will depend upon market conditions and other factors to be determined by us. We may ultimately decide to sell to Yorkville all, some or none of the shares of Common Stock that may be available for us to sell to Yorkville pursuant to the SEPA.</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Yorkville for the shares of Common Stock that we may elect to sell to Yorkville under the SEPA, if any, will fluctuate based on the market prices of Common Stock prior to each sale made pursuant to the SEPA, if any, it is not possible for us to predict, as of the date of this Report and prior to any such sales, the number of shares of Common Stock that we will sell to Yorkville under the SEPA, the purchase price per share that Yorkville will pay for shares purchased from us under the SEPA, or the aggregate gross proceeds that we will receive from those purchases by Yorkville under the SEPA, if any.</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Moreover, although the SEPA provides that we may issue up to an aggregate of $100 million of our Common Stock to Yorkville, only 114,526 shares of Common Stock (excluding 6,000 shares issued to Yorkville in lieu of a commitment fee at Closing) were previously registered for resale under the Prior SEPA Registration Statement. If we issue to Yorkville all of the 114,526 shares of Common Stock registered for resale under the Prior SEPA Registration Statement, depending on the market price of our Common Stock prior to each Advance made pursuant to the SEPA, the actual gross proceeds from the sale of all such shares may be substantially less than the $100 million available to us under the SEPA. As of the date of this Report, we issued all 114,526 shares of Common Stock to Yorkville under the previously registered statement went effective on February 14,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Since it was necessary for us to issue to Yorkville more than the 114,526 shares of Common Stock under the SEPA that were previously registered, to receive aggregate gross proceeds equal to $100 million under the SEPA, we filed another registration statement effective on September 26, 2024 to register 25 million shares of Common Stock under the Securities Act the resale by Yorkville such additional shares of Common Stock we now seek to issue from time to time under the SEPA. As of the date of this Report, we issued 6,096,797 shares of Common Stock to Yorkville under this registered statement went effective on September 26, 2024 (File No.# 333-282232).</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SEPA does not obligate Yorkville to subscribe for or acquire any shares of Common Stock under the SEPA if those shares of Common Stock, when aggregated with all other shares of Common Stock acquired by Yorkville under the SEPA, would result in Yorkville beneficially owning more than 9.99% of the then outstanding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will have on the market price of Class A Common Stock.</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 class common stock structure will result in a lower or more volatile market price of Class A Common Stock or in adverse publicity or other adverse consequences. For example, certain index providers have announced restrictions on including companies with multiple-class share structures in certain of their indices. Under the announced policies, our dual class capital structure would make us ineligible for inclusion in certain indices, and as a result, mutual funds, exchange-traded funds, and other investment vehicles that attempt to passively track those indices will not invest in Class A Common Stock. These policies are still fairly new and it is as of yet unclear what effect, if any, they will have on the valuations of publicly traded companies excluded from the indices, but it is possible that they may depress these valuations compared to those of other similar companies that are included. Because of our dual class structure, we will likely be excluded from certain of these indices and we cannot assure you that other stock indices will not take similar actions. Given the sustained flow of investment funds into passive strategies that seek to track certain indices, exclusion from stock indices would likely preclude investment by many of these funds and could make Class A Common Stock less attractive to other investors. As a result, the market price of Class A Common Stock could be adversely affected.</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“controlled company” within the meaning of Nasdaq listing rules, we qualify for exemptions from certain corporate governance requirements and have the opportunity to elect to avail ourselves of any of the exemptions afforded a controlled company. If we elect to rely on some of these exemptions, our stockholders will not have the same protections afforded to stockholders of companies that are subject to such requirements.</w:t>
      </w:r>
    </w:p>
    <w:p>
      <w:pPr>
        <w:spacing w:after="0" w:line="1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Because Mr. Davy controls more than a majority of our total voting power, we are a “controlled company” within the meaning of Nasdaq corporate governance listing rules. Under Nasdaq listing rules, a company of which more than 50% of the voting power is held by an individual, a group or another company is a “controlled company” and may elect not to comply with certain Nasdaq rules regarding corporate governance, including the following:</w:t>
      </w:r>
    </w:p>
    <w:p>
      <w:pPr>
        <w:spacing w:after="0" w:line="176" w:lineRule="exact"/>
        <w:rPr>
          <w:sz w:val="20"/>
          <w:szCs w:val="20"/>
          <w:color w:val="auto"/>
        </w:rPr>
      </w:pPr>
    </w:p>
    <w:p>
      <w:pPr>
        <w:ind w:left="960" w:hanging="51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director nominees must be selected, or recommended for selection, by either (i) the independent directors constituting a majority of the board of directors’ independent directors in a vote in which only independent directors participate or (ii) a nominations committee comprised solely of independent directors;</w:t>
      </w:r>
    </w:p>
    <w:p>
      <w:pPr>
        <w:spacing w:after="0" w:line="6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maintain a compensation committee with prescribed duties and a written charter comprised solely of independent directors; and</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an annual performance evaluation of our nominating and corporate governance and compensation committees.</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“controlled company,” we may elect to rely on some or all of these exemptions. Despite the fact that we currently do not intend to take advantage of these exemptions, our status as a controlled company could make Common Stock less attractive to some investors or otherwise harm the stock price of Class A Common Stock. Further, if we elect to rely on some or all of these exemptions, our stockholders will not have the same protections afforded to stockholders of companies that are subject to all of the corporate governance requirements of Nasdaq.</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and could limit the investor’s ability to obtain a favorable judicial forum.</w:t>
      </w:r>
    </w:p>
    <w:p>
      <w:pPr>
        <w:spacing w:after="0" w:line="15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spacing w:after="0" w:line="17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have outstanding: (i) warrants originally issued in 7GC’s initial public offering (the “Public Warrants”) to purchase 230,000 shares of our Class A Common Stock, exercisable at an exercise price of $575.00 per share, which expire on the earlier to occur of December 14, 2028 or redemption, (ii) the GEM Warrant to purchase 16,571 shares of our Class A Common Stock, exercisable at an exercise price of $1.83 per share, which expires on the earlier to occur of December 15, 2026 or redemption, (iii) the CP BF Warrant to purchase 565,553 shares of our Class A Common Stock, exercisable at an exercise price of $3.89 per share, which expires on the earlier to occur of September 23, 2029 - (5) years from the Issue Date, or (b) the occurrence of any voluntary or involuntary liquidation, dissolution or winding up of the Company, or Deemed Liquidation Event,</w:t>
      </w:r>
    </w:p>
    <w:p>
      <w:pPr>
        <w:spacing w:after="0" w:line="5" w:lineRule="exact"/>
        <w:rPr>
          <w:sz w:val="20"/>
          <w:szCs w:val="20"/>
          <w:color w:val="auto"/>
        </w:rPr>
      </w:pPr>
    </w:p>
    <w:p>
      <w:pPr>
        <w:jc w:val="both"/>
        <w:ind w:firstLine="8"/>
        <w:spacing w:after="0" w:line="250" w:lineRule="auto"/>
        <w:tabs>
          <w:tab w:leader="none" w:pos="3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Alco Warrant to purchase 1,331,340 shares of our Class A Common Stock, exercisable at an exercise price of $3.89 per share, which expires on the earlier to occur of September 23, 2029 - (5) years from the Issue Date, or (b) the occurrence of any voluntary or involuntary liquidation, dissolution or winding up of the Company, or Deemed Liquidation Event, (v) the Armistice Capital Master Fund Ltd Series A Warrant to purchase 1,176,471 shares of our Class A Common Stock, exercisable at an exercise price of $2.50 per share, which expires on the earlier to occur of September 26, 2029 or redemption,</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Armistice Capital Master Fund Ltd Series B Warrant to purchase 1,176,471 shares of our Class A Common Stock, exercisable at an exercise price of $2.50 per share, which expires on the earlier to occur of March 26, 2026 or redemption, (vii) the PA Warrant (HCW) to purchase 88,235 shares of our Class A Common Stock, exercisable at an exercise price of $5.3125 per share, which expires on the earlier to occur of September 26, 2029 or redemption,</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4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 Warrant (AGP – Best Offer) to purchase 277,778 shares of our Class A Common Stock, exercisable at an exercise price of $9.00 per share, which expires on the earlier to occur of May 28, 2029 or redemption, and (ix) the PA Warrant (AGP – Best Offer) to purchase 16,667 shares of our Class A Common Stock, exercisable at an exercise price of $10.00 per share, which expires on the earlier to occur of May 28, 2029 or redemption, (all such outstanding warrants are collectively referred to herein as the “Warrants”). The exercise of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$575.00. per share, it is more likely that holders of our Public Warrants will exercise their Public Warrants. If the price of our Class A Common Stock is less than $575.00 per share, it is unlikely that such holders will exercise their Public Warrants. There can be no assurance that our Warrants will be in the money prior to their expiration. Our Public Warrants under certain conditions, as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described in the Warrant Agreement, are redeemable by us at a price of $0.01 per warrant. The GEM Warrant is not redeemable and, like some of the other outstanding Warrants, are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other change that affects the interests of the registered holders of the Public Warrants. Accordingly, we may amend the terms of the Public Warrants in a manner adverse to a holder if holders of at least 50% of the then outstanding Public Warrants approve of such amendment.</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Although our ability to amend the terms of the Public Warrants with the consent of at least 50% of the then outstanding Public Warrants is unlimited, examples of such amendments could be amendments to, among other things, increase the exercise price of the Public Warrants, shorten the exercise period, or decrease the number of shares purchasable upon exercise of a Public Warrant.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Public Warrants prior to their exercise at a time that is disadvantageous to you, thereby making your Public Warrants worthless.</w:t>
      </w:r>
    </w:p>
    <w:p>
      <w:pPr>
        <w:spacing w:after="0" w:line="15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$18.00 per share.</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maintain a cyber risk management program designed to identify, assess, manage, mitigate, and respond to cybersecurity threats.</w:t>
      </w:r>
    </w:p>
    <w:p>
      <w:pPr>
        <w:spacing w:after="0" w:line="225"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underlying processes and controls of our cyber risk management program incorporate recognized best practices and standards for cybersecurity and information technology, including the National Institute of Standards and Technology (NIST) Cybersecurity Framework (CSF) and processes and controls supporting requirements with the General Data Protection Regulation (GDPR). The NIST CSF offers a thorough set of guidelines and best practices to help establish a strong cybersecurity posture. Utilizing NIST CSF enables us to systemically identify, assess, and manage cybersecurity risks most relevant and impactful to our business operations. It is important to note that using the NIST CSF as a guide does not imply our cybersecurity program meets any specific technical standards or requirements.</w:t>
      </w:r>
    </w:p>
    <w:p>
      <w:pPr>
        <w:spacing w:after="0" w:line="187"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We have an annual assessment performed by a third-party specialist of the cyber risk management program against the NIST CSF. The annual risk assessment identifies, quantifies, and categorizes material cyber risks. In addition, we, in conjunction with the third-party cyber risk management specialists, develop a Risk Mitigation Plan to mitigate such risks, and where necessary, remediate potential vulnerabilities identified through the annual assessment process.</w:t>
      </w:r>
    </w:p>
    <w:p>
      <w:pPr>
        <w:spacing w:after="0" w:line="180"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We maintain policies over areas such as information security, incident management, business continuity, IT change and configuration management, acceptable use and access on/offboarding to help govern the processes put in place by management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designed to protect our IT assets, data, and services from threats and vulnerabilities. We partner with industry recognized cybersecurity providers leveraging third-party technology and expertise. We engage with these partners to monitor and maintain the performance and effectiveness of IT assets, data, and services that are deployed in our IT environment.</w:t>
      </w:r>
    </w:p>
    <w:p>
      <w:pPr>
        <w:spacing w:after="0" w:line="176"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Cybersecurity partners, including assessors, consultants, advisors and other third-party service providers, are a key part of our cybersecurity risk management strategy and infrastructure. We partner with industry recognized cybersecurity providers leveraging third-party technology and expertise and engage with these partners to monitor and maintain the performance and effectiveness of IT assets, data and services. The cybersecurity partners provide services including, but not limited to, configuration management, vulnerability scans, network protection and monitoring, remote monitoring and management, user activity monitoring, data backups management, infrastructure maintenance, cybersecurity strategy, and cyber risk advisory, assessment, and remediation.</w:t>
      </w:r>
    </w:p>
    <w:p>
      <w:pPr>
        <w:spacing w:after="0" w:line="187"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We have implemented third-party risk management processes to manage the risks associated with reliance on vendors, critical service providers, and other third-parties that may lead to a service disruption or an adverse cybersecurity incident. This includes vendor due diligence prior to onboarding, a review of System and Organization Control (SOC) reports on an annual basis, regular review of vendor contracts, and compliance with service level agreements (SLAs).</w:t>
      </w:r>
    </w:p>
    <w:p>
      <w:pPr>
        <w:spacing w:after="0" w:line="180" w:lineRule="exact"/>
        <w:rPr>
          <w:sz w:val="20"/>
          <w:szCs w:val="20"/>
          <w:color w:val="auto"/>
        </w:rPr>
      </w:pPr>
    </w:p>
    <w:p>
      <w:pPr>
        <w:jc w:val="both"/>
        <w:ind w:right="20" w:firstLine="389"/>
        <w:spacing w:after="0" w:line="266" w:lineRule="auto"/>
        <w:rPr>
          <w:sz w:val="20"/>
          <w:szCs w:val="20"/>
          <w:color w:val="auto"/>
        </w:rPr>
      </w:pPr>
      <w:r>
        <w:rPr>
          <w:rFonts w:ascii="Times New Roman" w:cs="Times New Roman" w:eastAsia="Times New Roman" w:hAnsi="Times New Roman"/>
          <w:sz w:val="18"/>
          <w:szCs w:val="18"/>
          <w:color w:val="auto"/>
        </w:rPr>
        <w:t>In evaluating the risks identified as a result of the annual cybersecurity assessment process, our cybersecurity partners assist the Company to assess the likelihood, severity, and impact of relevant risks, including the impact on employees, stakeholders, and vendors. These risks are prioritized and monitored by the cybersecurity partners and management of the Company.</w:t>
      </w:r>
    </w:p>
    <w:p>
      <w:pPr>
        <w:spacing w:after="0" w:line="176"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Our cybersecurity program includes an incident response plan that includes all relevant and critical members of management and third-party service providers alike. The team is responsible for assessing and managing cybersecurity incident response processes, response times, and communication plans in the event corrective actions and mitigation procedures are required to isolate and eradicate an incident.</w:t>
      </w:r>
    </w:p>
    <w:p>
      <w:pPr>
        <w:spacing w:after="0" w:line="176"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Our management team, in conjunction with the Chief Technology Officer and cybersecurity service providers are responsible for oversight and administration of our cyber risk management program, and for informing senior management and other relevant stakeholders regarding the prevention, detection, mitigation, and remediation of cybersecurity incidents. The management team has prior experience selecting, deploying, and overseeing cybersecurity technologies, initiatives, and processes directly or via selection of strategic third-party partners. Management relies on threat intelligence as well as other information obtained from governmental, public or private sources, including external consultants engaged in strategic cyber risk management, advisory and decision making.</w:t>
      </w:r>
    </w:p>
    <w:p>
      <w:pPr>
        <w:spacing w:after="0" w:line="187"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Our Audit Committee oversees our cybersecurity risk exposures and the steps taken by management to monitor and mitigate cybersecurity risks. The cybersecurity stakeholders, including member(s) of management assigned with cybersecurity oversight responsibility and/or third-party consultants providing cyber risk services brief the Audit Committee on cyber threats and vulnerabilities identified through the risk management process, the effectiveness of our cyber risk management program, and the emerging threat landscape and new cyber risks on at least an annual basis. This includes updates on our processes to prevent, detect, and mitigate cybersecurity incidents. In addition, cybersecurity risks are reviewed by our Board of Directors at least annually, as part of the Company’s corporate risk oversight processes.</w:t>
      </w:r>
    </w:p>
    <w:p>
      <w:pPr>
        <w:spacing w:after="0" w:line="187"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We face risks from cybersecurity threats that could have a material adverse effect on our business, financial condition, results of operations, cash flows or reputation. We acknowledge that the risk of a cyber incident is prevalent in the current threat landscape and that a future cyber incident may occur in the normal course of our business. However, prior cybersecurity incidents have not had a material adverse effect on our business, financial condition, results of operations, or cash flows. We proactively seek to detect and investigate unauthorized attempts and attacks against our IT assets, data, and services, and to prevent their occurrence and recurrence where practical through changes or updates to our internal processes and tools and changes or updates to our service delivery; however, potential vulnerabilities to known or unknown threats will remain. Further, there is increasing regulation regarding responses to cybersecurity incidents, including reporting to regulators, investors, and additional stakeholders, which could subject us to additional liability and reputational harm. In response to such risks, we have implemented initiatives such as the cybersecurity risk assessment process and developed an incident response plan. See Item 1A. "Risk Factors" for more information on our cybersecurity risks.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435 Ericksen Ave NE, Suite 250, Bainbridge Island, WA 98110 and, as of December 31, 2024, consists of approximately 1,800 square feet of space under the current lease terms that were extended and now expire in October 2027. We believe this facility is adequate and suitable for our current and anticipated future needs.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“BNZI” and “BNZIW,” respectively. Our Class B Common Stock is not publicly traded.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April 10, 2025, there were 60 holders of record of our Class A Common Stock and one holder of our Class B Common Stock and one holder of record of our Public Warrants. These numbers do not include beneficial owners whose securities were held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is not applicable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7GC Class B Common Stock</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Prior to the IPO, the Sponsor paid an aggregate of $25,000 to cover certain 7GC expenses on 7GC’s behalf in exchange for the issuance of 5,031,250 shares of 7GC Class B Common Stock. In December 2020, the Sponsor transferred 25,000 shares of 7GC Class B Common Stock to each of Courtney Robinson, Tripp Jones, Kent Schofield, and Patrick Eggen, each of whom served on the board of directors of 7GC, at their original per share purchase price. In December 2020, 7GC effected a stock dividend of approximately 0.43 shares for each share of 7GC Class B Common Stock, resulting in an aggregate of 5,750,000 shares of 7GC Class B Common Stock issued and outstanding. Ms. Robinson and Messrs. Jones, Schofield, and Eggen then retransferred an aggregate of 14,286 shares back to the Sponsor. Immediately prior to, and substantially concurrently with, the Closing, (i) the Sponsor surrendered and forfeited to 7GC for no consideration (i) an aggregate of 396,501 shares of 7GC Class B Common Stock pursuant to the Non-Redemption Agreements and (ii) an aggregate of 825,000 shares of 7GC Class B Common Stock pursuant to the Share Transfer Agreements. The shares of 7GC Class B Common Stock are identical to the shares of 7GC Common Stock included in the units sold in the IPO except that the shares of 7GC Class B Common Stock which automatically converted into shares of Common Stock at Closing and were subject to certain transfer restrictions, as described in more detail below. These shares of 7GC Class B Common Stock were issued in connection with the organization of 7GC pursuant to an exemption from registration contained in Section 4(a)(2) of the Securities Act.</w:t>
      </w:r>
    </w:p>
    <w:p>
      <w:pPr>
        <w:spacing w:after="0" w:line="19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of 7GC, each share of 7GC Class B Common Stock converted into one share of Common Stock at the Closing. After the Closing and following the effectiveness of our Charter, each share of 7GC Common Stock was automatically reclassified, redesignated and changed into one validly issued, fully paid and non-assessable share of Common Stock, without any further action by the Company or any stockholder thereof. The issuance of Common Stock upon automatic conversion of 7GC Class B Common Stock at the Closing has not been registered under the Securities Act in reliance on the exemption from registration provided by Section 3(a)(9)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Simultaneously with the consummation of the IPO, the Sponsor purchased from 7GC an aggregate of 147,000 private placement warrants (for a purchase price of approximately $7.35 million). Each Private Placement Warrant entitled the holder thereof to purchase one share of 7GC Common Stock or Common Stock at an exercise price of $575.00 per share. The sale of the Private Placement Warrants was made pursuant to an exemption from registration contained in Section 4(a)(2) of the Securities Act.</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Pursuant to the Sponsor Forfeiture Agreement, the Sponsor forfeited all 147,000 private placement warrants in connected with the Business Combination at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 Warrant</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December 15, 2023, the Company issued GEM a warrant granting GEM the right to purchase 16,571 shares of Common Stock at an at an initial exercise price of $324.50 per share, which was later adjusted to $1.83 per share, pursuant to the adjustment provisions of the GEM Warrant. The sale of the GEM Warrant was made pursuant to an exemption from registration contained in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 Agreements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Business Combination, the Company issued 16,500 shares of Common Stock to Alco pursuant to the Share Transfer Agreements. Such shares have not been registered under the Securities Act in reliance on the exemption from registration provided by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Convertible Notes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February 19, 2021, Legacy Banzai issued a convertible promissory note in the principal amount of $1.5 million to CP BF pursuant in connection with the Loan Agreement. The Senior Convertible Notes and the shares of Common Stock issuable upon conversion of the Senior Convertible Note have not been registered under the Securities Act in reliance on the exemption from registration provided by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7GC Promissory Notes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October 3, 2023 and December 12, 2023, 7GC issued unsecured promissory notes to the Sponsor in an aggregate principal amount of $2,550,000 in connection with 7GC’s IPO and the Business Combination. On February 5, 2024, the Company issued 17,813 shares of Common Stock to the Sponsor upon conversion of the 7GC Promissory Notes. The 7GC Promissory Notes and the 17,813 shares of Common Stock issued upon conversion of the 7GC Promissory Notes have not been registered under the Securities Act in reliance on the exemption from registration provided by Section 4(a)(2)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Promissory Notes</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14, 2023, Legacy Banzai issued a convertible promissory note in the principal amount of $2.0 million to Yorkville pursuant to the SEPA and on February 5, 2024, and March 26, 2024, the Company issued convertible promissory notes in the principal amount of $1.0 million and $1.5 million, respectively, to Yorkville pursuant to the SEPA. Between January 1, 2024 and June 30, 2024, the Company issued 64,852 shares of Common Stock to Yorkville upon conversion of $1.8 million of the Yorkville Promissory Notes. In addition, on March 18, 2024, the Company issued 14,201 shares of Common Stock to Yorkville in satisfaction of a deferred fee payment in the amount of $500,000. Further, on May 3, 2024, the Company agreed to issue to Yorkville 12,000 shares of Common Stock, which shares represent satisfaction of a $200,000 Payment Premium due in accordance with the Yorkville Promissory Notes in connection with our early redemption of $2 million outstanding under the Yorkville Promissory Notes with the proceeds from the sale of our securities in this offering. The Company's issuance of the Yorkville Promissory Notes and the shares of Common Stock issued to Yorkville and issuable upon conversion of the Yorkville Promissory Notes have not been registered under the Securities Act in reliance on the exemption from registration provided by Section 4(a)(2) of the Securities Act.</w:t>
      </w:r>
    </w:p>
    <w:p>
      <w:pPr>
        <w:spacing w:after="0" w:line="1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Between January 1, 2024 and October 14, 2024, 454,158 shares of Common Stock had been issued upon conversion of the Yorkville Promissory Notes and a cash payment of $750,000 was made in May 2024. The aggregate principal amount was fully satisfied that no remaining outstanding balance under the Yorkville Promissory Notes as of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GEM Promissory Note</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February 5, 2024, the Company issued the GEM Promissory Note in the principal amount of $1.0 million to GEM pursuant to the GEM Settlement Agreement. The GEM Promissory Note provides for the issuance of shares of Common Stock at a conversion price equal to the VWAP of the trading day immediately preceding the applicable payment due date. As of the date of this Report, we have issued an aggregate of 190,001 shares of Common Stock to GEM in satisfaction of the aggregate $784,943 principal amount outstanding under the GEM Promissory Note. The remaining balance of $215,057 outstanding as of December 31, 2024 was settled in cash during Q1 2025 and there is no outstanding balance as of April 10, 2025. The issuance by the Company of the GEM Promissory Note and the shares of Common Stock issued to GEM and issuable upon conversion of any amount under the GEM Promissory Note have not been registered under the Securities Act in reliance on the exemption from registration provided by Section 4(a)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Securities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Cantor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December 28, 2023, the Company issued 22,279 shares of Common Stock to Cantor pursuant to the Fee Reduction Agreement as consideration for advisory services provided by Cantor in connection with the Business Combination. Such shares were issued in a transaction exempt from registration in reliance on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Roth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February 2, 2024, the Company issued 3,500 shares of Common Stock to Roth pursuant to the Roth Addendum as consideration for advisory services provided by Roth in connection with the Business Combination. Such shares were issued in a transaction exempt from registration in reliance on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Agreement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Effective March 20, 2024, the Company issued to a consultant (the “Marketing Consultant”) 3,070 shares of its Common Stock, which shares represented $200,000 of compensation for the Marketing Consultant’s services under a marketing services agreement. The shares were issued to the Marketing Consultant in a transaction exempt from registration in reliance on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Agreement Shares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April 13, 2024, the Company entered into a Consulting Services Agreement with a consultant (the “Business Consultant”). The Company agreed to issue to the Business Consultant a total of 6,400 shares of its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Equitization Issuances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From August 23, 2024 to September 23, 2024 the Company entered into various agreements to reorganize outstanding debt from certain creditors (collectively, the “Creditors”) into shares of the Company’s Common Stock (the “Shares”) (collectively, the “Debt Reorganization”). The Shares issued as part of the Debt Reorganization are a mix of Shares that are to be registered with the Securities and Exchange Commission (the “SEC”) in a registration statement on Form S-1 and Shares that are exempt from registration. </w:t>
      </w:r>
      <w:r>
        <w:rPr>
          <w:rFonts w:ascii="Times New Roman" w:cs="Times New Roman" w:eastAsia="Times New Roman" w:hAnsi="Times New Roman"/>
          <w:sz w:val="18"/>
          <w:szCs w:val="18"/>
          <w:color w:val="212529"/>
        </w:rPr>
        <w:t>As of April 10, 2025, the Company has issued an aggregate of 1,597,944 Shares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Creditors in exchange for the cancellation of an aggregate of $5,068,547 of debt. The Company agreed to issue an aggregate of 450,000 additional Shares pursuant to the Debt Reorganization.</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On September 9, 2024, the Company issued 24,000 restricted shares of its Common Stock, partially in exchange for the various investor relations services outlined in the Consulting Agreement with MZHCI, LLC, an MZ Group Company.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On January 3, 2025, the Company issued 150,000 restricted shares of its Common Stock, partially in exchange for the business advisory services outlined in the Consulting Agreement with Hudson Global Ventures, LLC, a Nevada limited liability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BF/Alco Shares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April 10, 2025, we issued an aggregate of 973,573 shares of Common Stock to CP BF and Alco, pursuant to the agreements we entered into with them in September 2024 and are exempt from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Hudson Global Ventures Shares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October 15, 2024, the Company issued 45,000 shares of Common Stock to Hudson pursuant to the Consulting Agreement as consideration for advisory services provided by Hudson. Such shares were issued in a transaction exempt from registration in reliance on Section 4(a)(2)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jc w:val="center"/>
        <w:ind w:right="992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audited financial statements and related notes included in Part II, Item 8 of this Form 10-K.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Form 10-K.</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3,070 customers as of December 31, 2024 and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163 on December 31, 2024.</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Banzai generated revenue approximately $4.5 million and $4.6 million during the year ended December 31, 2024 and 2023, respectively. Banzai has incurred significant net losses since inception, including net losses of approximately $31.1 million and $14.4 million for the year ended December 31, 2024 and 2023, respectively. Banzai had an accumulated deficit of $78.3 million and of $46.8 million as of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Mergers and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with 7GC</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December 14, 2023, we consummated the Business Combination with Legacy Banzai. Pursuant to the terms of the Merger Agreement, the Business Combination was effected through (a) the merger of First Merger Sub with and into Legacy Banzai, with Legacy Banzai surviving as a wholly-owned subsidiary of 7GC and (b) the subsequent merger of Legacy Banzai with and into Second Merger Sub, with the Second Merger Sub being the surviving entity of the Second Merger, which ultimately resulted in Legacy Banzai becoming a wholly-owned direct subsidiary of 7GC. Upon closing the Business Combination, we changed our name from 7GC &amp; Co. Holdings Inc. to Banzai International,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 Merger</w:t>
      </w:r>
    </w:p>
    <w:p>
      <w:pPr>
        <w:spacing w:after="0" w:line="22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212529"/>
        </w:rPr>
        <w:t>On December 18, 2024 (the “OR Closing Date”), we closed the merger (the “Merger”, the consummation of the Merger, the “Closing”) with ClearDoc, Inc., a Delaware corporation doing business as OpenReel (“OpenReel”), pursuant to an Agreement and Plan of Merger (the “OR Merger Agreement”), dated December 10, 2024, by and among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212529"/>
        </w:rPr>
        <w:t>OpenReel, certain stockholders of OpenReel (the “OpenReel Stockholders”), and Banzai Reel Acquisition, Inc., a Delaware corporation and our wholly owned subsidiary (“Merger Sub”), that was formed solely for purposes of consummating the Merger. Upon Closing, the Merger Sub merged with and into OpenReel, with OpenReel being the surviving entity (the “Surviving Entity”) thereafter as our direct and wholly owned subsidiary named “OpenReel, Inc.”.</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12529"/>
        </w:rPr>
        <w:t>At the effective time of the Merger (the “Effective Time”), each share of capital stock of OpenReel issued and outstanding immediately prior to the Effective Time (other than shares as to which dissenter’s rights have been properly exercised and certain other excluded shares) was converted into the right to receive our Common Stock, and pre-funded warrants, each exercisable for one (1) share of Banzai Common Stock at an exercise price of US$0.0001 (the “Pre-Funded Warrants”) issued in lieu thereof, in an amount equal to the quotient of $19,600,000 divided by the Conversion Price (as defined in the OR Merger Agreement) (the “Merger Consideration”).</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The Merger Consideration consisted of an aggregate of 930,558 shares of Banzai Common Stock and 11,769,501 Pre-Funded Warrants. The shares of Banzai Common Stock and Pre-Funded Warrants issued by Banzai to the OpenReel Stockholders pursuant to the OR Merger Agreement were issued in reliance upon the exemption from registration provided by Section 4(a)(2) of the Securities Act. Refer to Note 3 and Note 11 for information about the accounting treatment of this merger.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Vidello Acquisition</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On January 31, 2025, the Company closed on the Vidello Limited acquisition, a private limited company registered in England and Wales for approximately $2.7 million in cash ($2,500,000 are withheld for indemnification expenses and other holdback provisions in accordance with the Acquisition Agreement, the “Cash Consideration”) and 898,204 shares of Banzai Class A common stock, pursuant to an Acquisition Agreement (the “Acquisition Agreement”), dated December 19, 2024, by and among the Company, Vidello, and certain shareholders of Vidello (the “Vidello Shareholders”). Vidello Shareholders transferred all the outstanding shares of Vidello to the Company, therefore, Vidello became a direct and wholly owned subsidiary of the Company. The Share Consideration to the Vidello Shareholders pursuant to the Acquisition Agreement were issued in reliance upon the exemption from registration provided by Regulation D as promulgated under the Securities Act of 1933, as amended (the “Securities Act”).</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Vidello provides a suite of products for 3D video creation, royalty free music, and video marketing, with over $6.5 million in TTM revenue, $2 million in TTM EBITDA, while expected to reduce the combined company in operating losses to approximately $1.3 million per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Act On Merger</w:t>
      </w:r>
    </w:p>
    <w:p>
      <w:pPr>
        <w:spacing w:after="0" w:line="22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January 22, 2025, the Company entered into an Agreement and Plan of Merger (the “AO Merger Agreement”) with Act-On Software Inc., a Delaware corporation (“Act-On”), and Banzai Passage Inc., a Delaware corporation and wholly owned subsidiary of Banzai (“Passage”) that was formed solely for purposes of consummating the transactions contemplated in the AO Merger Agreement (the “AO Merger”). Pursuant to the AO Merger Agreement, subject to the satisfaction or waiver of the conditions set forth therein, upon closing of the AO Merger (the “Closing”), Act-On will merge with and into Passage, with Act-On surviving the AO Merger (the “AO Surviving Entity”), thereafter being a direct, wholly owned subsidiary of Banzai. The AO Merger is intended to qualify for federal income tax purposes as a tax-free reorganization under the provisions of Section 368(a) of the Internal Revenue Code of 1986, as amended. Although the Company cannot guarantee that the Act On Merger will close, the Company expects to close the transaction in Q2 2025.</w:t>
      </w:r>
    </w:p>
    <w:p>
      <w:pPr>
        <w:spacing w:after="0" w:line="19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AO Merger Agreement, at the effective time of the Merger (the “AO Effective Time”), the aggregate merger consideration to be issued to Act-On Stockholders and certain Management Employees (as defined in the AO Merger Agreement) shall be a total of approximately $35,050,000, payable in cash and in shares of our Class A Common Stock, subject to adjustment as set forth in the AO Merger Agreement (the “AO Merger Consideration”). The adjustments to the AO Merger Consideration in the AO Merger Agreement include a customary working capital adjustment based on the amount by which certain working capital items at closing are greater or less than the target working capital as defined in the AO Merger Agreement. In addition to the AO Merger Consideration, at the AO Effective Time, we will fully pay off a certain loan owed to a certain lender of Act-On as of the AO Closing (the “Payoff Amount”) and the out-of-pocket expenses incurred by Act-On in connection with the AO Merger (the “Transaction Expenses”) in cash to Act-On Stockholders, and issue a number of shares of Class A Common Stock (the “AO Share Consideration”) (or pre-funded warrants in lieu thereof, the “AO Pre-Funded Warrants”) to Act-On Stockholders and Management Employees that equal to the quotient of $33,200,000 divided by the average of the daily volume-weighted average trading prices of Class A Common Stock for the consecutive five (5) Trading Days (as defined in the AO Merger Agreement) immediately prior to and including the Trading Day immediately preceding the date of closing (the “AO Closing Date”) (the “Banzai 5-Day VWAP”).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Notwithstanding anything in the AO Merger Agreement to the contrary, Banzai shall not issue any shares of Class A Common Stock, to the extent that the issuance of shares of Class A Common Stock as AO Share Consideration would result in the Act-On Stockholders and Management Employees receiving an aggregate number of shares of Class A Common Stock exceeding 19.99% of the total shares of Class A Common Stock and shares of Class B Common Stock issued and outstanding immediately prior to the AO Effective Time (the “Nasdaq Ownership Limitation”). In addition, notwithstanding anything in the AO Merger Agreement and AO Pre-Funded Warrants to the contrary, Banzai shall not issue any shares of Class A Common Stock, to the extent that any issuance of the shares of Class A Common Stock as AO Share Consideration would result in an Act-On Stockholder or a Management Employee, together with its affiliates, beneficially owning (as determined in accordance with Section 13(d) of the Exchange Act and the rules promulgated thereunder) more than 4.99% of the Class A Common Stock issued and outstanding immediately following such issuance (the “Beneficial Ownership Limitation” and, together with Nasdaq Ownership Limitation, the “Ownership Limitations”). If and to the extent either of the Ownership Limitations prevents Banzai from issuing AO Share Consideration comprised exclusively of shares of Class A Common Stock, then Banzai instead will issue as AO Share Consideration (i) the maximum number of shares of Class A Common Stock that may be issued without exceeding either Ownership Limitation, and</w:t>
      </w:r>
    </w:p>
    <w:p>
      <w:pPr>
        <w:spacing w:after="0" w:line="4" w:lineRule="exact"/>
        <w:rPr>
          <w:sz w:val="20"/>
          <w:szCs w:val="20"/>
          <w:color w:val="auto"/>
        </w:rPr>
      </w:pPr>
    </w:p>
    <w:p>
      <w:pPr>
        <w:ind w:firstLine="8"/>
        <w:spacing w:after="0" w:line="260" w:lineRule="auto"/>
        <w:tabs>
          <w:tab w:leader="none" w:pos="2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 Pre-Funded Warrants exercisable for the number of shares of Class A Common Stock the issuance of which was prevented by application of the Ownership Limitations.</w:t>
      </w:r>
    </w:p>
    <w:p>
      <w:pPr>
        <w:spacing w:after="0" w:line="18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Some of the shares of Class A Common Stock and AO Pre-Funded Warrants will be issued to the Management Employees under Banzai’s 2023 equity incentive plan, as amended, pursuant to the registration statement on Form S-8, as amended (File No. 333-278218) and some of the shares of Class A Common Stock and AO Pre-Funded Warrants will be issued to certain Act-On Stockholders and Management Employees in reliance upon exemption provided by Rule 506(b) of Regulation D promulgated thereunder of the Securities Act, pursuant to a subscription booklet (the “Subscription Booklet”).</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Each AO Pre-Funded Warrant shall have an exercise price of $0.001 per each share of Class A Common Stock issuable thereunder. The AO Pre-Funded Warrants will be registered in Banzai’s books and will not be listed for trading on any stock exchange or trading market. The terms of the AO Pre-Funded Warrants will provide that Banzai shall not issue shares of Class A Common Stock to any holder of a AO Pre-Funded Warrant upon the exercise thereof to the extent that after giving effect to such issuance, such holder would beneficially own a number of shares of Class A Common Stock in excess of the Nasdaq Ownership Limitation. Notwithstanding the foregoing, the Nasdaq Ownership Limitation shall not apply following the receipt of the Banzai stockholder approval contemplated by Rule 5635 of the Nasdaq listing rules with respect to the issuance of shares of Class A Common Stock upon exercise of the AO Pre-Funded Warrants in excess of the Nasdaq Ownership Limitation (the “AO Stockholder Approval”). The AO Pre-Funded Warrants also contain a beneficial ownership limitation that provides that the Company shall not effect any exercise of the AO Pre-Funded Warrants, and the holders of the AO Pre-Funded Warrants shall not have the right to exercise any portion of the AO Pre-Funded Warrants, to the extent that after giving effect to such issuance after exercise, the holder would beneficially own in excess of the Beneficial Ownership Limitation.</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Following the Closing, Banzai will convene and hold a special meeting of its stockholders to obtain the AO Stockholder Approval (the “AO Special Meeting”). In connection with the AO Special Meeting, on January 22, 2025, Joseph P. Davy, Banzai’s Chief Executive Officer, who holds approximately 78.55% of Banzai’s total voting power as of the date of the AO Merger Agreement, entered into a Voting and Support Agreement, with Banzai (the “Voting and Support Agreement”) that obligates him to vote all the shares of Class B Common Stock beneficially owned by him in favor of the AO Stockholder Approval.</w:t>
      </w:r>
    </w:p>
    <w:p>
      <w:pPr>
        <w:spacing w:after="0" w:line="18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Pursuant to the AO Merger Agreement, Banzai will withhold from the AO Share Consideration a number of shares of Class A Common Stock equal to the quotient of $2,000,000 divided by the Banzai’s 5-Day VWAP, as adjusted pursuant to the AO Merger Agreement (the “Indemnification Holdback Amount”), as security for the obligations of Act-On Stockholders pursuant to the AO Merger Agreement. The Indemnification Holdback Amount shall be held for a period of twelve (12) months following the Closing Date (the “Indemnification Holdback Period”) and shall be released to Act-On Stockholders and Management Employees (in accordance with the Allocation Schedule) within ten (10) business days of the expiration of the Indemnification Holdback Period. The released aggregate amount shall be equal to (a) the Indemnification Holdback Amount, as allocated to Act-On Stockholders and Management Employees in accordance with the Allocation Schedule, less (b) any amounts set off against the Indemnification Holdback Amount pursuant to the AO Merger Agreement. The Indemnification Holdback amount shall be held by the Transfer Agent for the benefit of Act-On Stockholders and Management Employees and shall be released to Act-On Stockholders and Management Employees pursuant to the terms of a certain share consideration escrow agreement (the “Escrow Agreement”) by and among Banzai, Act-On, each of Act-On Stockholders and Management Employees and Continental Stock Transfer &amp; Trust Company, a New York limited purpose trust company (the “Escrow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or prior to the consummation of the AO Merger, parties will enter into the Escrow Agreement, pursuant to which, the Escrow Agent shall hold, for the benefit of Banzai, the Indemnification Holdback Amount. The Escrow Agent shall administer the Indemnification Holdback Amount in accordance with the written instructions jointly provided by Banzai and Act-On to the Escrow Agent to release the Indemnification Holdback Amount, or any portion thereof, as set forth in such instruction.</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or prior to the consummation of the AO Merger, Banzai shall execute and deliver to the Act-On Stockholders and Management Employees a registration rights agreement (the “AO Registration Rights Agreement”), pursuant to which, among other things, Banzai will agree to register for resale, within five (5) Business Days (as defined in the AO Merger Agreement) following the AO Closing, on an applicable registration statement under the Securities Act, the shares of Class A Common Stock, to be issued to the Act-On Stockholders and Management Employees pursuant to the AO Merger Agreement and the shares of Class A Common Stock issuable upon exercise of the AO Pre-Funded Warrants.</w:t>
      </w:r>
    </w:p>
    <w:p>
      <w:pPr>
        <w:spacing w:after="0" w:line="18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Closing of the AO Merger by each of Banzai, Merger Sub, and Act-On is subject to customary conditions, including (1) (A) adoption of the AO Merger Agreement by the Act-On Stockholders that hold the requisite percentage necessary to approve the AO Merger under Act-On’s Amended and Restated Certificate of Incorporation and (B) approval of the AO Transaction by Banzai’s board of directors, (2) authorization for listing on the Nasdaq Capital Market of the shares of Class A Common Stock to be issued in the AO Merger, subject to official notice of issuance, and (3) the absence of any order, injunction, decree or other legal restraint preventing the completion of the AO Merger or making the completion of the AO Merger illegal. Each party’s obligation to complete the AO Merger is also subject to certain additional customary conditions, including subject to certain exceptions, the accuracy of the representations and warranties of the other party and performance in all material respects by the other party of its obligations under the AO Merger Agreement. The AO Merger Agreement also contains customary representations, warranties, and indemnities of Banzai and Act-On.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August 29, 2024, we held a special meeting of securityholders (the “Special Meeting”). At the Special Meeting, the Company’s securityholders approved the proposal to amend our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On September 10, 2024, our Board determined to effect a reverse stock split at a ratio of 1-for-50, effective as of September 19, 2024 and filed an amendment with the Secretary of State of the State of Delaware.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Due to prior noncompliance with certain Nasdaq listing rules, we had a hearing before The Nasdaq Hearings Panel (the “Panel”), on September 19, 2024. Following that hearing, the Panel determined to phase our Common Stock down from The Nasdaq Global Market to The Nasdaq Capital Market. As of October 31, 2024, our Common Stock trades on The Nasdaq Capital Market, under the same symbol, BNZI.</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On October 18, 2024, the Company a letter from Nasdaq stating that the Company has regained compliance with Nasdaq Listing Rule 5450(a)(1) (the “Minimum Bid Price Requirement”) by maintaining a minimum closing bid price of the Company’s common stock (the “Common Stock”) of $1.00 or greater per share for the 10 consecutive business days, from September 19, 2024 through October 18, 2024, and that the Minimum Bid Price Requirement matter is now closed. The Company must still regain compliance with Listing Rule 5450(b)(2)(A) (the (“Market Value of Listed Securities”).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On November 7, 2024, the Company also received a letter from the staff at Nasdaq in relation to a letter from April 3, 2024, notifying the Company that, for the 10 consecutive trading days, from October 24, 2024 to November 6, 2024, the Company's MVPHS had been $1,000,000 or greater, and as such the staff determined that the Company had regained compliance with Listing Rule 5550(a)(5) and the matter was closed.</w:t>
      </w:r>
    </w:p>
    <w:p>
      <w:pPr>
        <w:spacing w:after="0" w:line="176"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212529"/>
        </w:rPr>
        <w:t>On November 7, 2024, Nasdaq determined that for the 10 consecutive trading days, from October 24, 2024 to November 6, 2024, the Company’s MVPHS has been $1,000,000 or greater and therefore the Company regained compliance with Listing Rule 5550(a)(5) (the equivalent of Listing Rule 5450(b)(2)(A) for the Capital Markets) and the matter is closed.</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12, 2025, the Company received a letter from the Nasdaq Stock Market LLC, Office of the General Counsel that Nasdaq’s Listing Qualifications staff confirmed that the Company has demonstrated compliance with all of The Nasdaq Stock Market’s listing requirements and therefore the Company’s securities will remain listed on the Exchange. However, there can be no assurance that the Company will be able to maintain compliance with Nasdaq listing standards. Please see “Risk Factors” for more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2024 Financings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12529"/>
        </w:rPr>
        <w:t>The Company may seek to raise additional capital through a private placement leveraging SEPA with the proceeds to support its operation and expansion through acquisition.</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12529"/>
        </w:rPr>
        <w:t>On May 22, 2024, we priced a “best efforts” public offering for the sale by the Company of an aggregate of 104,556 shares of our Class A common stock, pre-funded warrants exercisable into 173,222 shares of Class A Common Stock (the “May Pre-Funded Warrants”), and common warrants exercisable into 277,778 shares of Class A Common Stock (the “Common Warrants”). The public offering price was $9.00 per aggregate share. The May Pre-Funded Warrants are exercisable immediately, may be exercised at any time until all of the May Pre-Funded Warrants are exercised in full, and have an exercise price of $0.0050. The Common Warrants are exercisable immediately for a term of five years and have an exercise price of $9.00.</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A.G.P./Alliance Global Partners (“AGP”) acted as placement agent for the offering, pursuant to a placement agency agreement, dated May 22, 2024, between the Company and AGP (the “Placement Agency Agreement”). Under the Placement Agency Agreement, AGP received a cash fee of $174,939 and warrants (the “Placement Agent Warrants”) to purchase 16,667 shares of our Class A Common Stock at an exercise price per share equal to $10.00. The offering closed on May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Wainwright Private Financing</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12529"/>
        </w:rPr>
        <w:t>On September 24, 2024, the Company entered into a securities purchase agreement (the “Purchase Agreement”) with an institutional investor for the issuance and sale in a private placement (the “Private Placement”) of (i) pre-funded warrants (“HCW Pre-Funded Warrants”) to purchase up to 1,176,471 shares of the Company’s Class A common stock, par value $0.0001 per share (the “Common Stock”), at an exercise price of $0.001 per share, (ii) Series A warrants (the “Series A Warrants”) to purchase up to 1,176,471 shares of Common Stock, at an exercise price of $4.00 per share, and (iii) Series B warrants (the “Series B Warrants” and together with the Series A Warrants and the Placement Agent Warrants (defined below), the “Warrants” ) to purchase up to 1,176,471 shares of Common Stock at an exercise price of $4.00 per share. The Series A Warrants are exercisable immediately upon issuance and have a term of exercise equal to five years from the date of issuance. The Series B Warrants are exercisable immediately upon issuance and have a term of exercise equal to eighteen (18) months from the date of issuance. The combined purchase price per HCW Pre-Funded Warrant and accompanying Warrants was $4.249. The Private Placement closed on September 26, 2024.</w:t>
      </w:r>
    </w:p>
    <w:p>
      <w:pPr>
        <w:spacing w:after="0" w:line="18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A holder of the HCW Pre-Funded Warrants and the Warrants may not exercise any portion of such holder’s HCW Pre-Funded Warrants or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certain fundamental transactions, holders of the Warrants will have the right to receive the Black Scholes Value of their Warrants calculated pursuant to a formula set forth in the Warrants, payable either in cash or in the same type or form of consideration that is being offered and being paid to the holders of Common Stock.</w:t>
      </w:r>
    </w:p>
    <w:p>
      <w:pPr>
        <w:spacing w:after="0" w:line="18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In connection with the Private Placement, the Company entered into a registration rights agreement (the “Registration Rights Agreement”), dated as of September 24, 2024, with the investor, pursuant to which the Company agreed to prepare and file a registration statement on Form S-1 to register the resale of the shares of Common Stock underlying the HCW Pre-Funded Warrants and the Warrants, and to use its best efforts to have the registration statement declared effective as promptly as practical thereafter, and in any event no later than forty-five (45) days following the date of the Registration Rights Agreement (or seventy-five (75) days following the date of the Registration Rights Agreement in the event of a “full review” by the SEC). The Company filed an initial registration statement on Form S-1 (File No. 333-282506) with the SEC on October 4, 2024 and it was declared effective on November 6, 2024.</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12529"/>
        </w:rPr>
        <w:t>The net proceeds to the Company from the Private Placement were approximately $4.4 million, after deducting placement agent fees and estimated offering expenses payable by the Company. The Company intends to use the net proceeds received from the Private Placement to support general corporate purposes and working capital.</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H.C. Wainwright &amp; Co., LLC (“Wainwright”) acted as the Company’s exclusive placement agent in connection with the Private Placement, pursuant to that certain engagement letter, dated as of September 12, 2024, as amended, between the Company and Wainwright (the “Engagement Letter”). Pursuant to the Engagement Letter, the Company paid Wainwright (i) a total cash fee equal to 7.5% of the aggregate gross proceeds of the Private Placement (inclusive of the gross proceeds to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212529"/>
        </w:rPr>
        <w:t>received from the exercise of any Warrants), (ii) a management fee of 1.0% of the aggregate gross proceeds of the Private Placement (inclusive of the gross proceeds to be received from the exercise of any Warrants), and (iii) a non-accountable expense allowance of $50,000. In addition, the Company issued to Wainwright or its designees warrants (the “Placement Agent Warrants”) to purchase up to an aggregate of 88,235 shares of Common Stock at an exercise price equal to $5.3125 per share and, if any Warrants are exercised for cash will be obligated to issue to Wainwright additional Placement Agent Warrants equal to 7.5% of the total Warrants exercised, if any. The Placement Agent Warrants have substantially the same terms as the Warrants, are exercisable immediately upon issuance and have a term of exercise equal to five (5) years from the date of issuance.</w:t>
      </w:r>
    </w:p>
    <w:p>
      <w:pPr>
        <w:spacing w:after="0" w:line="18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12529"/>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The Company has also agreed not to effect any Variable Rate Transaction (as defined in the Purchase Agreement) until one (1) year after the effective date of the Registration Statement (subject to certain exceptions). Since the OR Merger requires the Company to issue shares to the OpenReel Stockholders and file a registration statement prior to the expiration of the aforesaid period, the Wainwright Investor agreed o waive the Protective Provisions (the "Waiver"). In consideration for the Waiver, the Company agreed to reduce the exercise price of the Warrants issued to the Wainwright Investor from $4.00 to $2.50 per share.</w:t>
      </w:r>
    </w:p>
    <w:p>
      <w:pPr>
        <w:spacing w:after="0" w:line="18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12529"/>
        </w:rPr>
        <w:t>The Engagement Letter and the Purchase Agreement contain customary representations and warranties and agreements and obligations, conditions to closing and termination provisions. The foregoing descriptions of terms and conditions of the Purchase Agreement, the HCW Pre-Funded Warrants, the Series A Warrants, the Series B Warrants, the Placement Agent Warrants, and the Registration Rights Agreement do not purport to be complete and are qualified in their entirety by the full text of the form of the Purchase Agreement, the form of the HCW Pre-Funded Warrant, the form of the Series A Warrant, the form of the Series B Warrant, the form of the Placement Agent Warrant, and the form of the Registration Rights Agreement, which are attached hereto as Exhibits.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12529"/>
        </w:rPr>
        <w:t xml:space="preserve">Between January 1, 2024 and December 31, 2024, 454,158 shares of Class A Common Stock had been issued upon conversion of outstanding promissory notes issued to </w:t>
      </w:r>
      <w:r>
        <w:rPr>
          <w:rFonts w:ascii="Times New Roman" w:cs="Times New Roman" w:eastAsia="Times New Roman" w:hAnsi="Times New Roman"/>
          <w:sz w:val="18"/>
          <w:szCs w:val="18"/>
          <w:color w:val="000000"/>
        </w:rPr>
        <w:t>YA II PN, LTD, a Cayman Islands exempt limited partnership managed by Yorkville Advisors Global, LP</w:t>
      </w:r>
      <w:r>
        <w:rPr>
          <w:rFonts w:ascii="Times New Roman" w:cs="Times New Roman" w:eastAsia="Times New Roman" w:hAnsi="Times New Roman"/>
          <w:sz w:val="18"/>
          <w:szCs w:val="18"/>
          <w:color w:val="212529"/>
        </w:rPr>
        <w:t xml:space="preserve"> and a cash payment of $750,000 was made in May 2024. The aggregate principal amount was fully satisfied such that there is no remaining balance under the Yorkville Promissory Notes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Debt Equitization Plan</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12529"/>
        </w:rPr>
        <w:t>From August 23, 2024 to December 31,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the Company agreed to register in a registration statement on Form S-1 and Shares that are exempt from registration. As of April 10, 2025 the Company has issued an aggregate of 1,597,944 Shares to the Creditors in exchange for the cancellation of an aggregate of $5,068,547 of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Repayment Agreement with J.V.B Financial Group, LLC</w:t>
      </w:r>
    </w:p>
    <w:p>
      <w:pPr>
        <w:spacing w:after="0" w:line="22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“Original J.V.B Agreement”) with J.V.B Financial Group, LLC (“J.V.B”) acting through Cohen &amp; Company Capital Markets Division (“Cohen”), pursuant to which the parties agreed that for services previously rendered valued at $115,000 (the “Outstanding Debt”), the Company shall issue J.V.B. unrestricted, freely-trading, registered shares of Common Stock pursuant to a resale registration statement on Form S-1 or S-3. On September 9, 2024, the Company and J.V.B. entered into an Amended and Restated Repayment Agreement (the “Amended J.V.B Agreement”) that allowed for the Outstanding Debt to be paid through the issuance of 29,077 Shares to J.V.B. Under the Amended J.V.B. Agreement, the Company agreed to file a Registration Statement on Form S-1 with the SEC for the public resale of the Shares. The Company shall use reasonable best efforts to cause the Registration Statement (the “Resale Registration Statement”) to be filed within 90 days after the signing of the Amended J.V.B. Agreement. If the minimum price, as defined in the Amended J.V.B. Agreement, on the date the Resale Registration Statement is declared effective is less than $3.955, the Company will issue additional Shares to J.V.B within one business day to ensure the total value of the Shares is equal the debt owed. The closing price on November 12, 2024, when the Resale Registration Statement went effective, was $1.94 which was below the minimum price. The residual unpaid fee balance, net of the 29,077 Shares paid, was $58,589 and was settled in cash as of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Addendum to Letter Agreements with Roth Capital Partners, LLC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October 5, 2022, the Company engaged Roth Capital Partners, LLC (“Roth”) to act as financial advisor to the Company in its then proposed business combination with 7GC &amp; Co. Holdings, Inc. (“7GC”), pursuant to an agreement (the “Roth Agreement”). On October 14, 2022, 7GC entered into a similar agreement where MKM Partners, LLC, later acquired by Roth, would act as financial advisor to 7GC in its then proposed business combination with the Company (the “7GC Agreement”, together with the Roth Agreement, the “Letter Agreements”). On February 2, 2024, the Company entered into an Addendum to the Letter Agreements with Roth (the “Addendum”), where the Company agreed to pay the fees owed under the Roth Agreement and 7GC Agreement by (1) issuing to Roth 3,500 Shares and amending the Company’s registration statement on Form S-1 filed with the SEC on December 29, 2023 to include the initial 3,500 Shares to be issued, and 12,000 Shares that may be issued as additional shares, as defined in the Addendum, to Roth, and</w:t>
      </w:r>
    </w:p>
    <w:p>
      <w:pPr>
        <w:spacing w:after="0" w:line="3" w:lineRule="exact"/>
        <w:rPr>
          <w:sz w:val="20"/>
          <w:szCs w:val="20"/>
          <w:color w:val="auto"/>
        </w:rPr>
      </w:pPr>
    </w:p>
    <w:p>
      <w:pPr>
        <w:jc w:val="both"/>
        <w:ind w:firstLine="8"/>
        <w:spacing w:after="0" w:line="252" w:lineRule="auto"/>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June 30, 2024, the Company shall pay to Roth an amount in cash equal to $300,000 (the “Cash Fee”); provided that, if, as a result of the Company’s cash position at such time, the Company determines in its reasonable discretion that the cash payment should not be made in cash, then the Company may elect to satisfy the cash payment by issuing to Roth, within three business days of such date, additional Shares. The number of Shares to be issued pursuant to the Addendum shall be determined by dividing the amount of the cash payment by the VWAP for the trading day immediately preceding the cash payment date. On September 6, 2024, the Company issued 35,294 Shares to Roth in lieu of the Cash Fee. The Shares are exempt from registration pursuant to Section 4(a)(2) of the Securities Act of 1933, as amended, and are to be issued as restricted stock with an appropriate restrictive legend.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Activate Agreement</w:t>
      </w:r>
    </w:p>
    <w:p>
      <w:pPr>
        <w:spacing w:after="0" w:line="22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owed Activate, Inc. $261,000 for past services rendered. The parties agreed to write off 50% of that balance and for the remaining balance to be paid at the close of the Company’s next capital raise. The remaining 50% balance due to Activate was paid upon closing of the private placement that occurred in September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Floor Price Adjustment Agreement with Yorkville Advisors</w:t>
      </w:r>
    </w:p>
    <w:p>
      <w:pPr>
        <w:spacing w:after="0" w:line="227"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YA II PN, LTD., a Cayman Islands exempt limited partnership managed by Yorkville Advisors Global, LP (“Yorkville”). On May 3, 2024, the Company entered into a debt repayment agreement with Yorkville (the “Original Debt Repayment Agreement”) stating that $2 million of the proceeds from a registered sale of Shares and warrants would be used to repay a portion of the principal and interest on outstanding promissory notes (the “Outstanding Promissory Notes”). In return, Yorkville agreed not to convert any portion of the debt into shares or issue an investor notice under their Standby Equity Purchase Agreement (the “SEPA”) with Yorkville for 90 days (the “Standstill Period”). On May 22, 2024, the Company entered into an Amended Debt Repayment Agreement (the “Amended Debt Repayment Agreement”). Under the terms of the Amended Debt Repayment Agreement, the outstanding balance owed to Yorkville was reduced from $2 million to $750,000. Yorkville was still not allowed to convert debt into Shares or issue an investor notice for 90 days. On August 28, 2024, the Standstill Period ended, and Yorkville was free to resume delivering investor notices to convert outstanding debt into Shares. Due to the end of the Standstill Period and the Company’s recent reverse stock split, at a ratio of 1-to-50,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 and the maturity date for the Outstanding Promissory Notes is extended by 120 days to January 17, 2025. As of the date of this Report, all of the Outstanding Promissory Notes have been settled.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Cooley LLP</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Cooley Unpaid Fee.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Letter with CohnReznick LLP</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in 15 equal monthly installments of $30,000. In consideration of the Settlement Letter, CohnReznick has agreed to not to pursue collection efforts now or at any time in the future, except as otherwise provided in the Settlement Letter.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$715,123 (the “Donnelley Unpaid Fee”). The Donnelley Unpaid Fee will be paid in 12 monthly installments, with the first monthly payment of $45,000 due on October 1, 2024; the remaining 11 payments shall each be in the amount of $28,366. Under the Donnelley Repayment Agreement, the Donnelley Unpaid Fee shall become immediately due and payable upon the occurrence of certain events, including failure to make a payment of the Donnelley Unpaid Fee when due and failure to pay for any additional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copy of the Transaction Documents are attached hereto as Exhibits and are incorporated by reference herein. The foregoing summaries of the terms of the Transaction Documents do not purport to be a complete description of each of the documents described in this Report and are qualified in their entirety by such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Alco and CP BF</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February 19, 2021, the Company, along with Joe Davy and Demio, Inc. (the “Guarantors”), issued a convertible promissory note (the “First Senior Convertible Note”) in an aggregate principal amount of $1,500,000 to CP BF Lending, LLC (“CP BF”) in connection with a loan agreement, dated February 19, 2021, between the Company and CP BF (the “Loan Agreement”). On October 10, 2022, the Loan Agreement was amended, whereby CP BF waived payment by the Company of four months of cash interest with respect to the term loan under the Loan Agreement in replacement for a convertible promissory note (the “Second Senior Convertible Note” and, together with the First Senior Convertible Note, the “Senior Convertible Notes”) issued by the Company in an aggregate principal amount of $321,345. On August 24, 2023, the Company and CP BF entered into a forbearance agreement (the “Original Forbearance Agreement”), as amended by the First Amendment to Forbearance Agreement, dated as of December 14, 2023 (collectively, the “Forbearance Agreement”), pursuant to which they agreed to amend and restate the Senior Convertible Notes so that they would not convert at the closing of a business combination as a “Change of Control” event. After the closing of the business combination that occurred on December 14, 2023, the Senior Convertible Notes became convertible, at CP BF’s option on 5 days’ written notice to the Company, into shares of the Company’s Common Stock. The Senior Convertible Notes provide that, at all times after a SPAC Transaction (as defined in the Senior Convertible Notes), the conversion price for any such conversion is approximately $4.35 per share, subject to adjustment as set forth therein.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23, 2024, the Company owed an aggregate of $10,758,775 under the Senior Convertible Notes.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After Closing, the Senior Convertible Notes became convertible, at CP BF’s option on 5 days’ written notice to the Company, into shares of Common Stock. The Senior Convertible Notes provide that, at all times after a SPAC Transaction (as defined in the Senior Convertible Notes), the conversion price for any such conversion is approximately $4.35 per share (subject to adjustment as set forth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September 5, 2024, the Company entered into a Side Letter to the Loan Agreement whereby the Company agreed to enter into definitive transaction documents with CP BF and the Guarantors, whereby each agreed that substantially all of the outstanding obligations of the Company and Guarantors with regard to the Loan Agreement shall be consolidated and evidenced by a single convertible note (the “Convertible Note”), and that, absent an event of default, the Convertible Note shall accrue interest at a rate of 15.5%, which interest shall be paid in kind monthly (collectively, the “Rate Reduction”). In exchange for agreeing to the Rate Reduction, CP BF subscribed (the “Subscription”) for, and the Company agreed to issue to CP BF, 70,000 Shares; the Company also agreed to register those shares in a registration statement on Form S-1.</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such definitive transaction documents with CP BF, including a Securities Purchase Agreement (the “CP BF SPA”), a Registration Rights Agreement (the “RRA”), a Lock-Up Agreement (the “Lock Up”) and issued CP BF a Common Stock Purchase Warrant (the “Warrant”) and a Pre-Funded Warrant (the “CPBF Pre-Funded Warrant,” together with the CP BF SPA, RRA, Lock Up and Warrant, the “CP BF Transaction Documents”). Pursuant to the CP BF SPA, CP BF agreed to convert $2,000,000 in debt into $2,200,000 in equity, consisting of 260,849 shares of Common Stock, Warrants to purchase up to 565,553 shares of Common Stock and CPBF Pre-Funded Warrants to purchase up to 304,704 shares of Common Stock (all such securities and shares collectively referred to as the “CP BF Registrable Securities”). Under the CP BF SPA, CP BF elected to purchase CPBF Pre-Funded Warrants in lieu of shares of Common Stock in such manner to result in them paying the full Subscription Amount ($2,000,000) to the Company. The Warrant can be exercised at an initial exercise price of $4.02 per share, subject to adjustment for a term of five years. The CPBF Pre-Funded Warrants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w:t>
      </w:r>
    </w:p>
    <w:p>
      <w:pPr>
        <w:spacing w:after="0" w:line="19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Pursuant to the RRA, the Company agreed to file a registration statement to register the CP BF Registrable Securities and for the registration statement to become effective on or before December 9, 2024.Under the Lock-Up, the Company’s CEO, Joe Davy, agreed not to sell an aggregate of 2,311,143 shares of Class B Common Stock that he owns until such time as CP BF no longer owns any of the CP BF Registrable Securities. Under the terms of the CP BF SPA, for a period of 45 days after the date the related Registration Statement is filed, except for certain specified transactions, the Company may not issue or enter into any agreement to issue shares of common stock, without CP BF’s prior written consent; the Company is similarly prohibited from entering into any variable rate transactions for a period of 12 months.</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Although the Note has a principal amount of $10,758,775, taking into account the purchase and sale pursuant to the CP BF SPA, the Company continued to owe $8,758,775 to CP BF. CP BF agreed to convert such debt into a consolidated convertible loan, evidenced by a convertible note (the “Note”), via the Second Amendment to Loan Agreement, dated as of September 23, 2024 (the “Amended Loan Agreement”). Pursuant to the Amended Loan Agreement, interest shall accrue as payable-in-kind at an annual interest rate of 15.5% per annum, which shall increase to 20% upon the occurrence of an event of default. The Company shall also pay CP BF a $900 monthly servicing fee, which may increase by 7% annually if certain fees increase in cost and paid CP BF a one-time origination fee in the amount of $160,000. The Amended Loan Agreement also provides certain instances in which the Company must prepay the loan. Until such time as the loan is paid in full, CP BF maintains the right to appoint one representative to the Company’s Board of Directors to attend and observe the Board of Director meetings. Adding in a 1% exit fee on the Note, we agreed to register an aggregate of 2,279,271 shares of Common Stock underlying the Note in the related registration statement. The Note may be converted into shares of the Company’s Common Stock at a conversion price of $3.89 per share and matures on February 19, 2027.</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September 19, 2024, the Company and Alco agreed to convert $4,708,099 of debt into $5,178,909 in equity, on the same terms as set forth in the CP BF Transaction Documents (the “Alco Transaction Documents”, together with the CP BF Transaction Documents, the “Transaction Documents”). Accordingly, Alco shall receive, and we agreed to register 282,420 shares of Common Stock, Warrants to purchase up to 1,331,340 shares of Common Stock and pre-funded warrants to purchase up to 1,048,920 shares of Common Stock (collectively, the “Alco Securities”). As consideration for the repayment of all of Alco’s outstanding debt, $470,810 was credited toward the purchase price of the Alco Securities.</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copy of the Transaction Documents are attached hereto as Exhibits and are incorporated by reference herein. The foregoing summaries of the terms of the Transaction Documents do not purport to be a complete description of each of the documents described in this Report and are qualified in their entirety by such documents.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initially filed a registration statement on Form S-1 (File No. 333-282306) on September 24, 2024 to register the shares of Common Stock issuable to CP BF and Alco pursuant to the above mentioned agreements and the registration statement was declared effective on October 10,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2025 Financings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January 30, 2025, we entered another Convertible Promissory Note (the “2025 Note”) with Yorkville, in principal amount of $3,500,000 (the “2025 Original Principal Amount”), to be used as an advance under the outstanding SEPA. We received the payment on January 31, 2025.</w:t>
      </w:r>
    </w:p>
    <w:p>
      <w:pPr>
        <w:spacing w:after="0" w:line="162"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Note was issued on January 30, 2025 (the “2025 Issuance Date”) and the maturity date of the Note is July 31, 2025, but may be extended at the option of the Company (the “2025 Maturity Date”). Beginning on February 28, 2025 and continuing on March 31, 2025 and April 30, 2025, (each, an “2025 Installment Date”), the Company shall repay a portion of the outstanding balance of this Note in an amount equal to the sum of (i) $1,500,000 of Principal in respect to the first two Installment Dates, and $500,000 in respect of the third Installment Date (or the outstanding Principal if less than such amount), plus (ii) a payment premium (in an amount equal to 4% of the Principal amount being paid (the “2025 Payment Premium”), and (iii) accrued and unpaid interest hereunder as of each Installment Date (collectively, the “2025 Installment Amount”). The Company maintains the right to pay each Installment Amount in cash or via an Advance Notice pursuant to the SEPA or any combination thereof. The Note bears an interest rate of 0% for the first 90 days following the Issuance Date, and 6% thereafter (the “2025 Interest Rate”). The Interest Rate shall increase to an annual rate of 18% upon the occurrence of an Event of Default (as defined by the Note). The Note is convertible into shares of our Class A Common Stock at a conversion price of $2.00 per share (the “2025 Conversion Price”). The Investor may elect to convert part or all of the outstanding balance of the Note at any time or from time to time after the Issuance Date. The Company may prepay the outstanding amount at any time, in whole or in part, subject to a 4% premium, provided that</w:t>
      </w:r>
    </w:p>
    <w:p>
      <w:pPr>
        <w:spacing w:after="0" w:line="4" w:lineRule="exact"/>
        <w:rPr>
          <w:sz w:val="20"/>
          <w:szCs w:val="20"/>
          <w:color w:val="auto"/>
        </w:rPr>
      </w:pPr>
    </w:p>
    <w:p>
      <w:pPr>
        <w:jc w:val="both"/>
        <w:ind w:firstLine="8"/>
        <w:spacing w:after="0" w:line="255" w:lineRule="auto"/>
        <w:tabs>
          <w:tab w:leader="none" w:pos="2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the Investor with at least 10 trading days’ prior written notice (each, a “2025 Redemption Notice”) of its desire to prepay the outstanding amount (an “2025 Optional Redemption”), and (ii) on the date the Redemption Notice is issued, the VWAP of the Class A Common Stock is less than the Conversion Price.</w:t>
      </w:r>
    </w:p>
    <w:p>
      <w:pPr>
        <w:spacing w:after="0" w:line="18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 copy of the 2025 Note is attached hereto as an Exhibit and is incorporated by reference herein. The foregoing summaries of the terms of the 2025 Note does not purport to be a complete description of the 2025 Note described in this Report and is qualified in its entirety by such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the management of our businesses, we identify, measure, and evaluate a variety of operating metrics, as described below. These key performance measures and operating metrics are not prepared in accordance with GAAP and may not be comparable to or calculated in the same way as other similarly titled measures and metrics used by other companies. Measurements are specific to the group being measured, i.e. total customers, new customers, or other cohorts. We currently use these operating metrics with our Demio product. We do not track and use these operating metrics with prior products.</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 of Banzai’s revenue generated from Demio for the years ended December 31, 2024 and 2023 as compared to our other SaaS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11"/>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73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Reach</w:t>
            </w:r>
          </w:p>
        </w:tc>
        <w:tc>
          <w:tcPr>
            <w:tcW w:w="1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3.8 %</w:t>
            </w:r>
          </w:p>
        </w:tc>
        <w:tc>
          <w:tcPr>
            <w:tcW w:w="20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4.5 %</w:t>
            </w:r>
          </w:p>
        </w:tc>
      </w:tr>
      <w:tr>
        <w:trPr>
          <w:trHeight w:val="216"/>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Demio</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94.9 %</w:t>
            </w:r>
          </w:p>
        </w:tc>
      </w:tr>
      <w:tr>
        <w:trPr>
          <w:trHeight w:val="216"/>
        </w:trPr>
        <w:tc>
          <w:tcPr>
            <w:tcW w:w="7320" w:type="dxa"/>
            <w:vAlign w:val="bottom"/>
            <w:tcBorders>
              <w:bottom w:val="single" w:sz="8" w:color="CFF0FC"/>
            </w:tcBorders>
            <w:gridSpan w:val="3"/>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09"/>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firstLine="8"/>
        <w:spacing w:after="0" w:line="209" w:lineRule="auto"/>
        <w:tabs>
          <w:tab w:leader="none" w:pos="113" w:val="left"/>
        </w:tabs>
        <w:numPr>
          <w:ilvl w:val="0"/>
          <w:numId w:val="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Other includes Boost sales for the years ended December 31, 2024, and 2023 and OpenReel product sales from acquisition date (refer to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Notes to Consolidated Financial Statements</w:t>
      </w:r>
      <w:r>
        <w:rPr>
          <w:rFonts w:ascii="Times New Roman" w:cs="Times New Roman" w:eastAsia="Times New Roman" w:hAnsi="Times New Roman"/>
          <w:sz w:val="18"/>
          <w:szCs w:val="18"/>
          <w:color w:val="auto"/>
        </w:rPr>
        <w:t>) to December 31, 2024.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(“NRR”)</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NRR is a metric Banzai uses to measure the revenue retention of its existing customer base. NRR calculates the change in revenue from existing customers by cohort over a period of time, after taking into account revenue lost due to customer churn and downgrades, and revenue gained due to upgrades and reactivations.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formula for calculating NRR is: NRR = (Revenue at the beginning of a period - Revenue lost from churn, and downgrades + Revenue gained from expansion and reactivation) / Revenue at the beginning of the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average monthly NRR for Demio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3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3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11"/>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3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5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73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Average Monthly NRR</w:t>
            </w:r>
          </w:p>
        </w:tc>
        <w:tc>
          <w:tcPr>
            <w:tcW w:w="13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96.7 %</w:t>
            </w:r>
          </w:p>
        </w:tc>
        <w:tc>
          <w:tcPr>
            <w:tcW w:w="20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95.5 %</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Average Customer Value (“ACV”)</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ACV is a metric Banzai uses to calculate the total revenue that it can expect to generate from a customer in a year. ACV is commonly used in the SaaS industry to measure the value of a customer to a subscription-based company over a 12-month period. Banzai uses ACV to segment its customers and to determine whether the value of new customers is growing or shrinking relative to the existing customer base. Banzai uses this information to make strategic decisions about pricing, marketing, and customer retention.</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formula for calculating ACV is: ACV = Total Annual Recurring Revenue (ARR) / Total Number Customers, where ARR is defined as annual run-rate revenue of subscription agreements from all customers measured at a point in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new customer ACV and total average ACV for Demio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11"/>
        </w:trPr>
        <w:tc>
          <w:tcPr>
            <w:tcW w:w="74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22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New Customer ACV</w:t>
            </w:r>
          </w:p>
        </w:tc>
        <w:tc>
          <w:tcPr>
            <w:tcW w:w="2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1,428</w:t>
            </w:r>
          </w:p>
        </w:tc>
        <w:tc>
          <w:tcPr>
            <w:tcW w:w="3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1,355</w:t>
            </w:r>
          </w:p>
        </w:tc>
      </w:tr>
      <w:tr>
        <w:trPr>
          <w:trHeight w:val="234"/>
        </w:trPr>
        <w:tc>
          <w:tcPr>
            <w:tcW w:w="7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Average ACV</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r>
    </w:tbl>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Cost (“CAC”)</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CAC is a financial metric Banzai uses to evaluate the average cost of acquiring a new customer. It includes marketing, sales, and other related expenses incurred while attracting and converting prospects into paying customers. CAC is a critical metric for Banzai to understand the efficiency and effectiveness of its marketing and sales efforts, as well as to ensure sustainable growth.</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CAC is: CAC = Total Sales &amp; Marketing Cost / Number of Customers Acquired.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CAC for Demio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11"/>
        </w:trPr>
        <w:tc>
          <w:tcPr>
            <w:tcW w:w="74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22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Customer Acquisition Cost (CAC)</w:t>
            </w:r>
          </w:p>
        </w:tc>
        <w:tc>
          <w:tcPr>
            <w:tcW w:w="2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1,519</w:t>
            </w:r>
          </w:p>
        </w:tc>
        <w:tc>
          <w:tcPr>
            <w:tcW w:w="3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1,030</w:t>
            </w:r>
          </w:p>
        </w:tc>
      </w:tr>
      <w:tr>
        <w:trPr>
          <w:trHeight w:val="432"/>
        </w:trPr>
        <w:tc>
          <w:tcPr>
            <w:tcW w:w="20" w:type="dxa"/>
            <w:vAlign w:val="bottom"/>
          </w:tcPr>
          <w:p>
            <w:pPr>
              <w:spacing w:after="0"/>
              <w:rPr>
                <w:sz w:val="24"/>
                <w:szCs w:val="24"/>
                <w:color w:val="auto"/>
              </w:rPr>
            </w:pPr>
          </w:p>
        </w:tc>
        <w:tc>
          <w:tcPr>
            <w:tcW w:w="74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Customer Churn %</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9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Customer Churn % is the rate of customers who deactivate in a given period relative to the number of active customers at the beginning of such period or end of the prior period. Understanding drivers of churn allows Banzai to take measures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reduce the number of customers who deactivate and increase the overall rate of customer retention. There are two types of Churn % measured: Revenue churn and Customer (or logo) churn.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Churn % is: Churn % = [# or $ value of] Deactivations / [# or $ value of] Active Customers (Beginning of period).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revenue Churn and new customer (or logo) Churn for Demio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11"/>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48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73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Average Monthly Churn - Revenue</w:t>
            </w:r>
          </w:p>
        </w:tc>
        <w:tc>
          <w:tcPr>
            <w:tcW w:w="14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5.7 %</w:t>
            </w:r>
          </w:p>
        </w:tc>
        <w:tc>
          <w:tcPr>
            <w:tcW w:w="20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6.9 %</w:t>
            </w:r>
          </w:p>
        </w:tc>
      </w:tr>
      <w:tr>
        <w:trPr>
          <w:trHeight w:val="234"/>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Monthly Churn - Customer (Logo)</w:t>
            </w:r>
          </w:p>
        </w:tc>
        <w:tc>
          <w:tcPr>
            <w:tcW w:w="1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Churn - Customer (Logo) represents the number of customers, whereas the non-Logo Churn is based on sales dollars.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Lifetime Value (“LTV”)</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LTV is a financial metric Banzai uses to estimate the total revenue it can expect to generate from a customer throughout their entire relationship. LTV helps Banzai understand the long-term value of each customer, enabling it to make informed decisions about marketing, sales, customer support, and product development strategies. It also helps Banzai allocate resources more efficiently by identifying high-value customer segments to focus on growth and retention.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LTV is comprised of two metrics: Monthly Recurring Revenue (MRR) and Customer Life represented in # of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Calculations for these metrics on a per-customer basis, as follows: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MRR = ACV / 12</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Customer Life (# of months) = 1 / Churn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LTV = MRR * Customer Life (# of months)</w:t>
      </w:r>
    </w:p>
    <w:p>
      <w:pPr>
        <w:spacing w:after="0" w:line="20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MRR is calculated by aggregating, for all customers from customer base or the group being measured during that month, monthly revenue from committed contractual amounts. For customers on annual contracts, this represents their ACV divided by 12.</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MRR, Customer Life, and LTV for Demio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11"/>
        </w:trPr>
        <w:tc>
          <w:tcPr>
            <w:tcW w:w="74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22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MRR (New Customers)</w:t>
            </w:r>
          </w:p>
        </w:tc>
        <w:tc>
          <w:tcPr>
            <w:tcW w:w="22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3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16"/>
        </w:trPr>
        <w:tc>
          <w:tcPr>
            <w:tcW w:w="7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Life (months)</w:t>
            </w:r>
          </w:p>
        </w:tc>
        <w:tc>
          <w:tcPr>
            <w:tcW w:w="2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7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LTV (New Customers)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1,635</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LTV / CAC Ratio</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LTV / CAC ratio is a culminating metric measuring the efficiency of Sales and Marketing activities in terms of the dollar value of new business generated versus the amount invested in order to generate that new business. This provides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measurement of ROI for Sales and Marketing activities. A segmented view of LTV / CAC ratio gives additional insight into the profitability of various business development activities.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formula for calculating LTV / CAC ratio is: LTV / CAC for the segment or activity being measured.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LTV / CAC ratio for Demio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11"/>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Product: Demio</w:t>
            </w:r>
          </w:p>
        </w:tc>
        <w:tc>
          <w:tcPr>
            <w:tcW w:w="14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42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7"/>
        </w:trPr>
        <w:tc>
          <w:tcPr>
            <w:tcW w:w="74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LTV / CAC Ratio</w:t>
            </w:r>
          </w:p>
        </w:tc>
        <w:tc>
          <w:tcPr>
            <w:tcW w:w="14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940" w:type="dxa"/>
            <w:vAlign w:val="bottom"/>
            <w:gridSpan w:val="2"/>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Impact of Key Business Drivers on Financial Performance</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Banzai strives to maximize revenue growth within a reasonable cost structure through optimizing and continuous monitoring of the key business metrics described above relative to SaaS industry benchmarks, Banzai’s direct competition, and historical company performance. This is accomplished through a combination of increased revenue per customer (higher ACVs and NRR) on an increasing customer base, generated through efficient customer acquisition (LTV / CAC ratio) and improved customer retention (lower churn, higher customer life). Other business activities contribute to improved performance and metrics, including but not limited to the following:</w:t>
      </w:r>
    </w:p>
    <w:p>
      <w:pPr>
        <w:spacing w:after="0" w:line="183" w:lineRule="exact"/>
        <w:rPr>
          <w:sz w:val="20"/>
          <w:szCs w:val="20"/>
          <w:color w:val="auto"/>
        </w:rPr>
      </w:pPr>
    </w:p>
    <w:p>
      <w:pPr>
        <w:ind w:left="960" w:hanging="51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Success and Onboarding, leading to maximum customer satisfaction and retention.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Support, maximizing customer value, supporting usage and expansion revenue.</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Initiatives, designed to improve trial experience and conversion rates, on-demand adoption, and emphasis on data to position our products as a system of automation and a system of record for our customers, supporting growth and retention.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Identification of Operational Risk Factors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a number of key internal and external operational risks to the successful execution of Banzai’s strategy.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risks include, among others:</w:t>
      </w:r>
    </w:p>
    <w:p>
      <w:pPr>
        <w:spacing w:after="0" w:line="225" w:lineRule="exact"/>
        <w:rPr>
          <w:sz w:val="20"/>
          <w:szCs w:val="20"/>
          <w:color w:val="auto"/>
        </w:rPr>
      </w:pPr>
    </w:p>
    <w:p>
      <w:pPr>
        <w:ind w:left="960" w:hanging="51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leadership issues: ineffective leadership, poor decision-making, or lack of direction.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inefficiencies: inadequate processes and poor resource allocation may lead to decreased productivity or insufficient ROI.</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mismanagement: inadequate financial planning, improper accounting practices, or excessive debt can lead to financial instability.</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challenges: high turnover, lack of skilled staff, or internal conflicts can impact morale and productivity.</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obsolescence: failing to develop (or adapt) to new technologies in anticipation or response to changes in market trends can lead to competitive disadvantages.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External risks include, among others:</w:t>
      </w:r>
    </w:p>
    <w:p>
      <w:pPr>
        <w:spacing w:after="0" w:line="225" w:lineRule="exact"/>
        <w:rPr>
          <w:sz w:val="20"/>
          <w:szCs w:val="20"/>
          <w:color w:val="auto"/>
        </w:rPr>
      </w:pPr>
    </w:p>
    <w:p>
      <w:pPr>
        <w:ind w:left="960" w:hanging="512"/>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economic downturns, inflation, or currency fluctuations impacting business spending and overall market conditions.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established industry players to new entrants, eroding market share and profitability.</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laws or regulations that impact operations or increase compliance costs.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disruptions: from advancements in technology leading to obsolescence of existing products.</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including natural disasters, geo-political instability, and pandemics, potentially impacting market demand, operational or supply chain disruption.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Impact of Operational Risks on Financial Performance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risk factors described above could have significant impacts on Banzai’s financial performance. These or other factors, including those risk factors summarized in the section titled “Risk Factors” could impact Banzai’s ability to generate and grow revenue, contain costs, or inhibit profitability, cash flow, and overall financial performance:</w:t>
      </w:r>
    </w:p>
    <w:p>
      <w:pPr>
        <w:spacing w:after="0" w:line="176" w:lineRule="exact"/>
        <w:rPr>
          <w:sz w:val="20"/>
          <w:szCs w:val="20"/>
          <w:color w:val="auto"/>
        </w:rPr>
      </w:pPr>
    </w:p>
    <w:p>
      <w:pPr>
        <w:ind w:left="960" w:hanging="512"/>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Sales: Internal risks from operating inefficiency or external factors, including economic downturns or increased competition, could lead to lower sales, impaired unit economics, and reduced revenue.</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Internal operating mismanagement or external factors, including supplier issues, may cause increased cost relative to revenue generation, resulting in insufficient return on investment or profit margins.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By continuing to conduct comprehensive risk monitoring and analysis on financial performance, Banzai can optimize its ability to make informed decisions and improve its ability to navigate internal and external challenges. Such activities include: identification and categorization of risks, quantification and analysis of potential severity, and development of risk mitigation strategies. It is also important for Banzai to ensure financial reports and disclosures accurately reflect the potential impact of risks on financial performance, essential for transparent communication with investors and stakeholders.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and Public Company Costs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of 7GC were stated at historical cost, with no goodwill or other intangible assets recorded. Operations prior to the Business Combination are those of Legacy Banzai in this and future reports of Banzai.</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qualified as an “emerging growth company.” As a result, we have been provided certain disclosure and regulatory relief. Our future results of operations and financial position may not be comparable to Legacy Banzai’s historical results of operations and financial position as a result of the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c>
          <w:tcPr>
            <w:tcW w:w="100" w:type="dxa"/>
            <w:vAlign w:val="bottom"/>
          </w:tcPr>
          <w:p>
            <w:pPr>
              <w:spacing w:after="0"/>
              <w:rPr>
                <w:sz w:val="18"/>
                <w:szCs w:val="18"/>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r>
      <w:tr>
        <w:trPr>
          <w:trHeight w:val="211"/>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i w:val="1"/>
                <w:iCs w:val="1"/>
                <w:color w:val="auto"/>
              </w:rPr>
              <w:t>Year $</w:t>
            </w:r>
          </w:p>
        </w:tc>
        <w:tc>
          <w:tcPr>
            <w:tcW w:w="100" w:type="dxa"/>
            <w:vAlign w:val="bottom"/>
          </w:tcPr>
          <w:p>
            <w:pPr>
              <w:spacing w:after="0"/>
              <w:rPr>
                <w:sz w:val="18"/>
                <w:szCs w:val="18"/>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i w:val="1"/>
                <w:iCs w:val="1"/>
                <w:color w:val="auto"/>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55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5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9"/>
        </w:trPr>
        <w:tc>
          <w:tcPr>
            <w:tcW w:w="20" w:type="dxa"/>
            <w:vAlign w:val="bottom"/>
          </w:tcPr>
          <w:p>
            <w:pPr>
              <w:spacing w:after="0"/>
              <w:rPr>
                <w:sz w:val="18"/>
                <w:szCs w:val="18"/>
                <w:color w:val="auto"/>
              </w:rPr>
            </w:pPr>
          </w:p>
        </w:tc>
        <w:tc>
          <w:tcPr>
            <w:tcW w:w="5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0"/>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5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242.9 %</w:t>
            </w:r>
          </w:p>
        </w:tc>
      </w:tr>
      <w:tr>
        <w:trPr>
          <w:trHeight w:val="209"/>
        </w:trPr>
        <w:tc>
          <w:tcPr>
            <w:tcW w:w="20" w:type="dxa"/>
            <w:vAlign w:val="bottom"/>
          </w:tcPr>
          <w:p>
            <w:pPr>
              <w:spacing w:after="0"/>
              <w:rPr>
                <w:sz w:val="18"/>
                <w:szCs w:val="18"/>
                <w:color w:val="auto"/>
              </w:rPr>
            </w:pPr>
          </w:p>
        </w:tc>
        <w:tc>
          <w:tcPr>
            <w:tcW w:w="5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16,573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12,912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28.4 %</w:t>
            </w:r>
          </w:p>
        </w:tc>
      </w:tr>
      <w:tr>
        <w:trPr>
          <w:trHeight w:val="210"/>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(13,468 )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(9,796 )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09"/>
        </w:trPr>
        <w:tc>
          <w:tcPr>
            <w:tcW w:w="552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SEPA commitment fee and deferred fee expense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3,826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GEM warrant expense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GEM commitment fee expense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-239.7 %</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debt issuance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extinguishment of term notes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20" w:type="dxa"/>
            <w:vAlign w:val="bottom"/>
          </w:tcPr>
          <w:p>
            <w:pPr>
              <w:spacing w:after="0"/>
              <w:rPr>
                <w:sz w:val="17"/>
                <w:szCs w:val="17"/>
                <w:color w:val="auto"/>
              </w:rPr>
            </w:pPr>
          </w:p>
        </w:tc>
        <w:tc>
          <w:tcPr>
            <w:tcW w:w="550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 on conversion and settlement of Alco promissory notes - related</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-598.3 %</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198"/>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simple agreement for future equity - related</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34"/>
        </w:trPr>
        <w:tc>
          <w:tcPr>
            <w:tcW w:w="20" w:type="dxa"/>
            <w:vAlign w:val="bottom"/>
            <w:shd w:val="clear" w:color="auto" w:fill="CFF0FC"/>
          </w:tcPr>
          <w:p>
            <w:pPr>
              <w:spacing w:after="0"/>
              <w:rPr>
                <w:sz w:val="20"/>
                <w:szCs w:val="20"/>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(2,752 )</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198"/>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 liabilities -</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34"/>
        </w:trPr>
        <w:tc>
          <w:tcPr>
            <w:tcW w:w="20" w:type="dxa"/>
            <w:vAlign w:val="bottom"/>
            <w:shd w:val="clear" w:color="auto" w:fill="CFF0FC"/>
          </w:tcPr>
          <w:p>
            <w:pPr>
              <w:spacing w:after="0"/>
              <w:rPr>
                <w:sz w:val="20"/>
                <w:szCs w:val="20"/>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(3,063 )</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-98.3 %</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-2138.2 %</w:t>
            </w: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0" w:type="dxa"/>
            <w:vAlign w:val="bottom"/>
          </w:tcPr>
          <w:p>
            <w:pPr>
              <w:spacing w:after="0"/>
              <w:rPr>
                <w:sz w:val="18"/>
                <w:szCs w:val="18"/>
                <w:color w:val="auto"/>
              </w:rPr>
            </w:pPr>
          </w:p>
        </w:tc>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55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291.4 %</w:t>
            </w:r>
          </w:p>
        </w:tc>
      </w:tr>
      <w:tr>
        <w:trPr>
          <w:trHeight w:val="209"/>
        </w:trPr>
        <w:tc>
          <w:tcPr>
            <w:tcW w:w="20" w:type="dxa"/>
            <w:vAlign w:val="bottom"/>
          </w:tcPr>
          <w:p>
            <w:pPr>
              <w:spacing w:after="0"/>
              <w:rPr>
                <w:sz w:val="18"/>
                <w:szCs w:val="18"/>
                <w:color w:val="auto"/>
              </w:rPr>
            </w:pP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118.7 %</w:t>
            </w: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55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20" w:type="dxa"/>
            <w:vAlign w:val="bottom"/>
          </w:tcPr>
          <w:p>
            <w:pPr>
              <w:spacing w:after="0"/>
              <w:rPr>
                <w:sz w:val="18"/>
                <w:szCs w:val="18"/>
                <w:color w:val="auto"/>
              </w:rPr>
            </w:pP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118.7 %</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-6223000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-6223000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-6223000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-5657215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-5657215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-5657215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-5365750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-5365750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-5365750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-1370965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-1370965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-1370965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-1079500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-1079500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-1079500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The percentage changes included in the tables herein that are not considered meaningful are presented as “nm".</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r>
      <w:tr>
        <w:trPr>
          <w:trHeight w:val="211"/>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w:t>
            </w: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55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4,528</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4,561</w:t>
            </w:r>
          </w:p>
        </w:tc>
        <w:tc>
          <w:tcPr>
            <w:tcW w:w="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(33 )</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-0.7 %</w:t>
            </w:r>
          </w:p>
        </w:tc>
      </w:tr>
    </w:tbl>
    <w:p>
      <w:pPr>
        <w:spacing w:after="0" w:line="19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Banzai reported total revenue of approximately $4,528 thousand, representing a decrease of approximately $33 thousand, or approximately 0.7%, compared to the year ended December 31, 2023. This decrease is primarily attributable to lower Reach revenue which declined by approximately $19 thousand due to a shift in Banzai's focus to its Demio product and decision, which decision was reversed in the later part of Q1 2024, to begin phasing out the Reach product. In 2024 Banzai is revitalizing its focus on the Reach product through re-engineering and expanded sales efforts. Demio revenue was lower by approximately $223 thousand for the year ended December 31, 2024 as compared to the year ended December 31, 2023 due to churn and lower new sales period-over-period.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r>
      <w:tr>
        <w:trPr>
          <w:trHeight w:val="211"/>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w:t>
            </w: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55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1,423</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1,445</w:t>
            </w:r>
          </w:p>
        </w:tc>
        <w:tc>
          <w:tcPr>
            <w:tcW w:w="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(22 )</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-1.5 %</w:t>
            </w:r>
          </w:p>
        </w:tc>
      </w:tr>
    </w:tbl>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Banzai’s cost of revenue totaled approximately $1,423 thousand and approximately $1,445 thousand, respectively. This represents a decrease of approximately $22 thousand, or approximately 1.5%, for the year ended December 31, 2024 as compared to the year ended December 31, 2023. This decrease is due primarily to lower customer base that led to an approximately 5% lower average cost per customer, driven by lower contracted services and infrastructure costs of approximately $84 thousand and $90 thousand,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r>
      <w:tr>
        <w:trPr>
          <w:trHeight w:val="211"/>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w:t>
            </w: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55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3,105</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3,116</w:t>
            </w:r>
          </w:p>
        </w:tc>
        <w:tc>
          <w:tcPr>
            <w:tcW w:w="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(11 )</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-0.4 %</w:t>
            </w: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Banzai’s gross profit was approximately $3,105 thousand and approximately $3,116 thousand, respectively. This represents a decrease of approximately $11 thousand, or approximately 0.4% due to the decreases in revenue of approximately $33 thousand and decreases in cost of revenue of approximately $22 thousand described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c>
          <w:tcPr>
            <w:tcW w:w="1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r>
      <w:tr>
        <w:trPr>
          <w:trHeight w:val="211"/>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w:t>
            </w: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55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16,573</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12,912</w:t>
            </w:r>
          </w:p>
        </w:tc>
        <w:tc>
          <w:tcPr>
            <w:tcW w:w="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3,661</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28.4 %</w:t>
            </w:r>
          </w:p>
        </w:tc>
      </w:tr>
    </w:tbl>
    <w:p>
      <w:pPr>
        <w:spacing w:after="0" w:line="19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Total operating expenses for the years ended December 31, 2024 and 2023, were approximately $16.6 million and approximately $12.9 million, respectively, an increase of approximately $3.7 million, or 28.4%. This increase was due primarily to an overall increase in salaries and related expenses by approximately $0.4 million, marketing expenses by approximately $0.7 million, technology expenses by approximately $0.3 million, rent expenses by approximately $0.1 million, transaction processing fees of approximately $0.3 million, costs associated with audit, technical accounting, and legal and other professional services of approximately $1.7 million. On September 16, 2024, the Company committed to a reduction in force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(the "Reduction") intended to decrease expenses and maintain a streamlined organization to support key programs and customers, and that is expected to conserve cash. As part of the Reduction, the Company reduced its headcount by 24 employees, which represented approximately 34% of the Company's full-time employees as of September 15, 2024. The cost-saving measures from the Reduction are expected to reduce annual operating expenses by approximately an additional $1.3 million beginning in the fourth quarter of 2024. The Company estimates that it will incur total restructuring charges of approximately $0.1 million, including severance payments in connection with the Reduction. The Company completed the reduction on October 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Year-over-</w:t>
            </w:r>
          </w:p>
        </w:tc>
        <w:tc>
          <w:tcPr>
            <w:tcW w:w="10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Year-over-</w:t>
            </w:r>
          </w:p>
        </w:tc>
      </w:tr>
      <w:tr>
        <w:trPr>
          <w:trHeight w:val="211"/>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w:t>
            </w:r>
          </w:p>
        </w:tc>
        <w:tc>
          <w:tcPr>
            <w:tcW w:w="10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1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18,045</w:t>
            </w:r>
          </w:p>
        </w:tc>
        <w:tc>
          <w:tcPr>
            <w:tcW w:w="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4,610</w:t>
            </w:r>
          </w:p>
        </w:tc>
        <w:tc>
          <w:tcPr>
            <w:tcW w:w="2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13,435</w:t>
            </w:r>
          </w:p>
        </w:tc>
        <w:tc>
          <w:tcPr>
            <w:tcW w:w="15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291.4 %</w:t>
            </w: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Banzai reported total other expense of approximately $18.0 million. This represents an increase in other expenses of approximately $13.4 million from the year ended December 31, 2023, when the Company reported total other expenses of approximately $4.6 million. The change in other expenses, net was primarily driven by the following:</w:t>
      </w:r>
    </w:p>
    <w:p>
      <w:pPr>
        <w:spacing w:after="0" w:line="176" w:lineRule="exact"/>
        <w:rPr>
          <w:sz w:val="20"/>
          <w:szCs w:val="20"/>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CP BF notes of approximately $6.5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Alco promissory notes of approximately $4.8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 settlement commitment fee expense of approximately $0.2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debt of approximately $0.7 million recognized during the year ended December 31, 2024.</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changes in fair value of the simple agreement for future equity ("SAFEs") during the year ended December 31, 2024 relative to a gain of approximately $3.0 million recognized during the year ended December 31, 2023, approximately $2.8 million of which related to related party SAFEs. All SAFEs were converted at the close of the Merger in December 2023.</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$0.7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term notes of approximately $1.1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warrant liability recorded as a gain (third party &amp; related party) of approximately $1.2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(third party and related party) decreased by approximately $2.5 million.</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bifurcated embedded derivative liabilities during the year ended December 31, 2024 was approximately $0.1 million relative to an overall expenses of approximately $4.5 million during the year ended December 31, 2023.</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convertible promissory notes recorded as a loss of approximately $0.7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term notes recorded as a loss of approximately $0.1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Yorkville prepayment premium expense of approximately $0.1 million.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of approximately $2.7 million recorded during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Year-over-</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Year-over-</w:t>
            </w:r>
          </w:p>
        </w:tc>
      </w:tr>
      <w:tr>
        <w:trPr>
          <w:trHeight w:val="211"/>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53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shd w:val="clear" w:color="auto" w:fill="CFF0FC"/>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shd w:val="clear" w:color="auto" w:fill="CFF0FC"/>
          </w:tcPr>
          <w:p>
            <w:pPr>
              <w:ind w:left="9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FF0FC"/>
          </w:tcPr>
          <w:p>
            <w:pPr>
              <w:ind w:left="9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ind w:left="1060"/>
              <w:spacing w:after="0" w:line="196" w:lineRule="exact"/>
              <w:rPr>
                <w:sz w:val="20"/>
                <w:szCs w:val="20"/>
                <w:color w:val="auto"/>
              </w:rPr>
            </w:pPr>
            <w:r>
              <w:rPr>
                <w:rFonts w:ascii="Times New Roman" w:cs="Times New Roman" w:eastAsia="Times New Roman" w:hAnsi="Times New Roman"/>
                <w:sz w:val="18"/>
                <w:szCs w:val="18"/>
                <w:color w:val="auto"/>
                <w:w w:val="95"/>
              </w:rPr>
              <w:t>nm</w:t>
            </w:r>
          </w:p>
        </w:tc>
      </w:tr>
      <w:tr>
        <w:trPr>
          <w:trHeight w:val="64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Banzai’s reported provision for income tax expense was $0 thousand. Banzai did not report a provision for income tax expense for the year ended December 31, 2023.</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Due to Banzai's history of losses since inception, there is not enough evidence at this time to support that Banzai will generate future income of a sufficient amount and nature to utilize the benefits of its net deferred tax assets. Accordingly, the deferred tax assets have been reduced by a full valuation allowance, since Banzai cannot currently support that realization of its deferred tax assets is more likely than not.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2024, Banzai had no unrecognized tax benefits that would reduce Banzai's effective tax rate if recognized.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Net Loss Analysis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c>
          <w:tcPr>
            <w:tcW w:w="16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6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Year-over-</w:t>
            </w:r>
          </w:p>
        </w:tc>
        <w:tc>
          <w:tcPr>
            <w:tcW w:w="10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Year-over-</w:t>
            </w:r>
          </w:p>
        </w:tc>
      </w:tr>
      <w:tr>
        <w:trPr>
          <w:trHeight w:val="211"/>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w:t>
            </w:r>
          </w:p>
        </w:tc>
        <w:tc>
          <w:tcPr>
            <w:tcW w:w="10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6"/>
        </w:trPr>
        <w:tc>
          <w:tcPr>
            <w:tcW w:w="52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(31,513 )  $</w:t>
            </w:r>
          </w:p>
        </w:tc>
        <w:tc>
          <w:tcPr>
            <w:tcW w:w="1600" w:type="dxa"/>
            <w:vAlign w:val="bottom"/>
            <w:gridSpan w:val="3"/>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(14,406 )  $</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(17,107 )</w:t>
            </w:r>
          </w:p>
        </w:tc>
        <w:tc>
          <w:tcPr>
            <w:tcW w:w="15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118.7 %</w:t>
            </w:r>
          </w:p>
        </w:tc>
      </w:tr>
    </w:tbl>
    <w:p>
      <w:pPr>
        <w:spacing w:after="0" w:line="198"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Banzai reported net losses of approximately $31.5 million and approximately $14.4 million, respectively. The greater net loss is primarily due to an increase in total other expenses of approximately $13.4 million during the year ended December 31, 2024 compared to the year ended December 31, 2023, in addition to an increase in operating expenses of approximately $3.7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condensed consolidated financial statements prospectively from the date of the change in the estimate.</w:t>
      </w:r>
    </w:p>
    <w:p>
      <w:pPr>
        <w:spacing w:after="0" w:line="19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determination of opening balances in purchase accounting for business combinations, and in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2024, the Company had two operating segments, which were deemed to be its reporting units, for the purpose of evaluating goodwill impairment, and the annual impairment test is performed as of December 31.</w:t>
      </w:r>
    </w:p>
    <w:p>
      <w:pPr>
        <w:spacing w:after="0" w:line="15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As of the annual impairment testing date of December 31, 2024, the Company bypassed the qualitative assessment and proceeded directly to the quantitative impairment test based on the stock price of the Company on the measurement date and economic uncertainty. To perform the quantitative assessment, the Company engaged a third-party service provider to assist management with the determination of the fair value of the Company. The Company estimated fair value of equity using the market capitalization method of the market approach, consideration of initiatives unknown by the market and evaluation of any implied control premium. Management further supported the conclusions by assessing a combination of an income valuation methodology, comprising a discounted cash flow analysis and market valuation methodologies, comprising the guideline public company and guideline transaction methods.</w:t>
      </w:r>
    </w:p>
    <w:p>
      <w:pPr>
        <w:spacing w:after="0" w:line="18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market capitalization method calculated the aggregate market value of the Company based on the total number of outstanding shares of common and preferred stock and the market prices of the shares as of the assessment date. The Company evaluated conditions that were unknown by the market as of the assessment date and how a market participant would evaluate an implied control premium for the Company. The implied control premium was supported using a discounted cash flow analysis that contemplated the present value of assumed market participant cost savings and synergies.</w:t>
      </w:r>
    </w:p>
    <w:p>
      <w:pPr>
        <w:spacing w:after="0" w:line="18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results of the quantitative assessment indicated that the carrying amount of the Company's OpenReel reporting unit exceeded its fair value, which resulted in an impairment loss of $2.7 million at December 31, 2024.</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will continue evaluating the economic conditions at future reporting periods for triggering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0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non-cash, and non-operational expenses. We use this information for ongoing evaluation of operations and for internal planning purposes. We believe that non- GAAP financial information, when taken collectively with results under GAAP, may be helpful to investors in assessing our operating performance and comparing our performance with competitors and other comparable companies.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960" w:hanging="51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6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5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5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Year-over-</w:t>
            </w:r>
          </w:p>
        </w:tc>
        <w:tc>
          <w:tcPr>
            <w:tcW w:w="10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8"/>
              </w:rPr>
              <w:t>Year-over-</w:t>
            </w:r>
          </w:p>
        </w:tc>
      </w:tr>
      <w:tr>
        <w:trPr>
          <w:trHeight w:val="211"/>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w:t>
            </w:r>
          </w:p>
        </w:tc>
        <w:tc>
          <w:tcPr>
            <w:tcW w:w="10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2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 (Loss)</w:t>
            </w: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(6,506 )  $</w:t>
            </w:r>
          </w:p>
        </w:tc>
        <w:tc>
          <w:tcPr>
            <w:tcW w:w="1560" w:type="dxa"/>
            <w:vAlign w:val="bottom"/>
            <w:gridSpan w:val="3"/>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(11,944 )  $</w:t>
            </w:r>
          </w:p>
        </w:tc>
        <w:tc>
          <w:tcPr>
            <w:tcW w:w="12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5,438</w:t>
            </w:r>
          </w:p>
        </w:tc>
        <w:tc>
          <w:tcPr>
            <w:tcW w:w="15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-45.5 %</w:t>
            </w: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Banzai’s Adjusted EBITDA was approximately $6.5 million, reflecting a decrease in the earnings of approximately $5.4 million compared to a loss of approximately $11.9 million for the year ended December 31, 2023. This period-over-period decrease in earnings is primarily attributable to increased general and administrative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Income/(Loss) to Adjusted EBITDA Reconciliation</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3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c>
          <w:tcPr>
            <w:tcW w:w="100" w:type="dxa"/>
            <w:vAlign w:val="bottom"/>
          </w:tcPr>
          <w:p>
            <w:pPr>
              <w:spacing w:after="0"/>
              <w:rPr>
                <w:sz w:val="18"/>
                <w:szCs w:val="18"/>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r>
      <w:tr>
        <w:trPr>
          <w:trHeight w:val="211"/>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i w:val="1"/>
                <w:iCs w:val="1"/>
                <w:color w:val="auto"/>
              </w:rPr>
              <w:t>Year $</w:t>
            </w:r>
          </w:p>
        </w:tc>
        <w:tc>
          <w:tcPr>
            <w:tcW w:w="100" w:type="dxa"/>
            <w:vAlign w:val="bottom"/>
          </w:tcPr>
          <w:p>
            <w:pPr>
              <w:spacing w:after="0"/>
              <w:rPr>
                <w:sz w:val="18"/>
                <w:szCs w:val="18"/>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i w:val="1"/>
                <w:iCs w:val="1"/>
                <w:color w:val="auto"/>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55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(31,513 )</w:t>
            </w:r>
          </w:p>
        </w:tc>
        <w:tc>
          <w:tcPr>
            <w:tcW w:w="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(14,406 )</w:t>
            </w:r>
          </w:p>
        </w:tc>
        <w:tc>
          <w:tcPr>
            <w:tcW w:w="2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(17,107 )</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118.7 %</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-239.7 %</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242.9 %</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55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conversion and settlement of Alco promissory notes - related</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-598.3 %</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simple agreement for future equity - related party</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liabilities</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198"/>
        </w:trPr>
        <w:tc>
          <w:tcPr>
            <w:tcW w:w="5520" w:type="dxa"/>
            <w:vAlign w:val="bottom"/>
            <w:gridSpan w:val="3"/>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 liabilities - related</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34"/>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(3,063 )</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-98.3 %</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-2138.2 %</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4,746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1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p>
      <w:pPr>
        <w:spacing w:after="0" w:line="198"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 Transaction related expenses include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 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Professional fees - audit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Professional fees - legal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Incremental accounting</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 study, M&amp;A support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Transaction related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c>
          <w:tcPr>
            <w:tcW w:w="100" w:type="dxa"/>
            <w:vAlign w:val="bottom"/>
          </w:tcPr>
          <w:p>
            <w:pPr>
              <w:spacing w:after="0"/>
              <w:rPr>
                <w:sz w:val="18"/>
                <w:szCs w:val="18"/>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r>
      <w:tr>
        <w:trPr>
          <w:trHeight w:val="238"/>
        </w:trPr>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i w:val="1"/>
                <w:iCs w:val="1"/>
                <w:color w:val="auto"/>
              </w:rPr>
              <w:t>Year $</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i w:val="1"/>
                <w:iCs w:val="1"/>
                <w:color w:val="auto"/>
              </w:rPr>
              <w:t>Year %</w:t>
            </w: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-10.9 %</w:t>
            </w:r>
          </w:p>
        </w:tc>
      </w:tr>
      <w:tr>
        <w:trPr>
          <w:trHeight w:val="216"/>
        </w:trPr>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675.2 %</w:t>
            </w:r>
          </w:p>
        </w:tc>
      </w:tr>
      <w:tr>
        <w:trPr>
          <w:trHeight w:val="216"/>
        </w:trPr>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34"/>
        </w:trPr>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4,746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-719455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-445135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-162560</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740"/>
          </w:cols>
          <w:pgMar w:left="320" w:top="1305"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Since inception, Banzai has financed its operations primarily from the sales of redeemable convertible preferred stock and convertible promissory notes, and proceeds from senior secured loans. As of December 31, 2024, Banzai had cash of approximately $1.1 million.</w:t>
      </w:r>
    </w:p>
    <w:p>
      <w:pPr>
        <w:spacing w:after="0" w:line="162"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Banzai has incurred losses since its inception, had a working capital deficit of approximately $25.6 million as of December 31, 2024, and had an accumulated deficit at December 31, 2024 totaling approximately $78.3 million. As of December 31, 2024, Banzai had approximately $3.6 million and approximately $8.9 million aggregate principal amount outstanding on term/promissory notes and convertible notes, respectively. During the year ended December 31, 2024, Banzai raised additional capital under the SEPA through the issuance of additional convertible notes for a total of approximately $2.5 million to fund the Company's operations. Additionally, during the year ended December 31, 2024, the Company issued non-cash share payments of approximately $3.9 million in partial settlement of the Yorkville Promissory Note financing, and made an approximately $0.5 million non-cash share payment to settle the deferred fee liability payable to Yorkville in terms of the SEPA. In May 2024 the Company entered into the Amended Repayment Agreement which extended the maturity date on the convertible notes to September 25, 2024, and pursuant to which the Company made a cash payment of $0.8 million in partial settlement of the Yorkville Promissory Notes. In December 2024 the Company raised approximately $0.9 million through the sale of 550,000 shares of Class A Common Stock to Yorkville pursuant to the terms of the SEPA. These stock issuances described herein do not represent sources of new capital, rather the issuances were made to settle existing liabilities in lieu of cash payments, as described above. Banzai has historically used debt financing proceeds principally to fund operations. On May 22, 2024 and September 24, 2024, Banzai entered into a securities purchase agreement with accredited investors, providing for the issuance and sale of Common Stock, pre-funded warrants, and common warrants in a registered direct offering. The aggregate gross proceeds to the Company from the May 2024 and September 2024 Offerings were approximately $2.5 million and $5.0 million, respectively.</w:t>
      </w:r>
    </w:p>
    <w:p>
      <w:pPr>
        <w:spacing w:after="0" w:line="19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Banzai’s intends to seek additional funding through the SEPA arrangement and other equity financings in 2025. If Banzai is unable to raise such funding, Banzai will have to pursue an alternative course of action to seek additional capital through other debt and equity financing. On January 30, 2025, we entered another Convertible Promissory Note (the “2025 Note”) with Yorkville, in principal amount of $3,500,000 (the “2025 Original Principal Amount”), to be used as an advance under the outstanding SEPA. We received the payment on January 31, 2025.</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committed to a reduction in force (the "Reduction") intended to decrease expenses and maintain a streamlined organization to support key programs and customers, and that is expected to conserve cash. As part of the Reduction, the Company reduced its headcount by 24 employees, which represented approximately 34% of the Company's full-time employees as of September 15, 2024. The cost-saving measures from the Reduction are expected to reduce annual operating expenses by approximately an additional $1.3 million beginning in the fourth quarter of 2024. The Company estimates that it will incur total restructuring charges of approximately $0.1 million, including severance payments in connection with the Reduction. The Company completed the reduction in October, 2024.</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If Banzai is unable to raise sufficient additional capital, through future debt or equity financings or through strategic and collaborative ventures with third parties, Banzai will not have sufficient cash flows and liquidity to fund its planned business for 12 months from the issuance of these financial statements. There can be no assurances that Banzai will be able to secure alternate forms of financing at terms that are acceptable to management. In that event, Banzai might be forced to limit many of its business plans and consider other means of creating value for its stockholders. Based on the factors described above, and after considering management’s plans, there is substantial doubt about Banzai’s ability to continue as a going concern within one year from the date the financial statements were available to be issued. The accompanying condensed consolidated financial statements have been prepared assuming Banzai will continue as a going concern, which contemplates the realization of assets and satisfaction of liabilities in the normal course of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220" w:type="dxa"/>
            <w:vAlign w:val="bottom"/>
            <w:gridSpan w:val="7"/>
          </w:tcPr>
          <w:p>
            <w:pPr>
              <w:jc w:val="right"/>
              <w:ind w:right="450"/>
              <w:spacing w:after="0"/>
              <w:rPr>
                <w:sz w:val="20"/>
                <w:szCs w:val="20"/>
                <w:color w:val="auto"/>
              </w:rPr>
            </w:pPr>
            <w:r>
              <w:rPr>
                <w:rFonts w:ascii="Times New Roman" w:cs="Times New Roman" w:eastAsia="Times New Roman" w:hAnsi="Times New Roman"/>
                <w:sz w:val="18"/>
                <w:szCs w:val="18"/>
                <w:color w:val="auto"/>
              </w:rPr>
              <w:t>The following table sets forth Banzai’s cash flows for the years ended December 31, 2024 and 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8"/>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c>
          <w:tcPr>
            <w:tcW w:w="100" w:type="dxa"/>
            <w:vAlign w:val="bottom"/>
          </w:tcPr>
          <w:p>
            <w:pPr>
              <w:spacing w:after="0"/>
              <w:rPr>
                <w:sz w:val="18"/>
                <w:szCs w:val="18"/>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i w:val="1"/>
                <w:iCs w:val="1"/>
                <w:color w:val="auto"/>
              </w:rPr>
              <w:t>Year-over-</w:t>
            </w:r>
          </w:p>
        </w:tc>
      </w:tr>
      <w:tr>
        <w:trPr>
          <w:trHeight w:val="211"/>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Year $</w:t>
            </w:r>
          </w:p>
        </w:tc>
        <w:tc>
          <w:tcPr>
            <w:tcW w:w="10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i w:val="1"/>
                <w:iCs w:val="1"/>
                <w:color w:val="auto"/>
              </w:rPr>
              <w:t>Year %</w:t>
            </w: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52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(31,513 )</w:t>
            </w:r>
          </w:p>
        </w:tc>
        <w:tc>
          <w:tcPr>
            <w:tcW w:w="2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(14,406 )</w:t>
            </w:r>
          </w:p>
        </w:tc>
        <w:tc>
          <w:tcPr>
            <w:tcW w:w="2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(17,107 )</w:t>
            </w:r>
          </w:p>
        </w:tc>
        <w:tc>
          <w:tcPr>
            <w:tcW w:w="15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118.7 %</w:t>
            </w:r>
          </w:p>
        </w:tc>
      </w:tr>
      <w:tr>
        <w:trPr>
          <w:trHeight w:val="198"/>
        </w:trPr>
        <w:tc>
          <w:tcPr>
            <w:tcW w:w="52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71.2 %</w:t>
            </w:r>
          </w:p>
        </w:tc>
      </w:tr>
      <w:tr>
        <w:trPr>
          <w:trHeight w:val="216"/>
        </w:trPr>
        <w:tc>
          <w:tcPr>
            <w:tcW w:w="52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(9,575 )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(8,024 )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517.3 %</w:t>
            </w:r>
          </w:p>
        </w:tc>
      </w:tr>
      <w:tr>
        <w:trPr>
          <w:trHeight w:val="216"/>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2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8,487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223.8 %</w:t>
            </w:r>
          </w:p>
        </w:tc>
      </w:tr>
      <w:tr>
        <w:trPr>
          <w:trHeight w:val="210"/>
        </w:trPr>
        <w:tc>
          <w:tcPr>
            <w:tcW w:w="5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increase / (decrease) in 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(1,006 )</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-194.0 %</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2024</w:t>
      </w:r>
    </w:p>
    <w:p>
      <w:pPr>
        <w:spacing w:after="0" w:line="22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$0.1 million for the year ended December 31, 2024 and was related to cash acquired in the acquisition of OpenReel.</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2023</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$1.6 million for the year ended December 31, 2023. Net cash used in operating activities consists of net loss of approximately $14.4 million, total adjustments of approximately $12.9 million for non-cash items and the effect of changes in working capital. Non-cash adjustments include non-cash issuance of shares to Yorkville in terms of the aggregate commitment fee of $3.3 million, non-cash issuance of warrants accounted for as liabilities of $2.4 million, non-cash GEM commitment fee of $2.0 million, stock-based compensation expense of approximately $1.2 million, non-cash interest expense of approximately $1.2 million (approximately $0.5 million for related party), amortization of debt discount and issuance costs of approximately $3.4 million (approximately $2.4 million for related party), amortization of operating lease ROU assets of approximately $0.2 million, fair value adjustments to simple agreement for future equity of approximately $3.0 million (approximately $2.8 million for related party), fair value adjustments to bifurcated embedded derivative liabilities of approximately $4.5 million (approximately $3.1 million for related party), fair value adjustment for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9" w:name="page70"/>
    <w:bookmarkEnd w:id="6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 liabilities gain of $1.7 million (loss of $0.1 million for related party), excise tax of approximately $0.3 million, and net of change in operating assets and liabilities of approximately $8.1 million.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net cash investing activities for the year ended December 31, 2023.</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$2.6 million for the year ended December 31, 2023, and was primarily related to proceeds from the issuance of convertible note, net of issuance costs of approximately $5.8 million (approximately $2.6 million for related party), related party note payable financing of $4.4 million, offset by the effect of the Business Combination, net of transaction costs of $7.6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 Expenditure Commitments and Financing Requirements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4"/>
                <w:szCs w:val="24"/>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Less than 1 year</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1 - 3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Debt principal - 15.5% CP BF convertible notes</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380" w:type="dxa"/>
            <w:vAlign w:val="bottom"/>
            <w:gridSpan w:val="2"/>
            <w:vMerge w:val="continue"/>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8,259</w:t>
            </w:r>
          </w:p>
        </w:tc>
        <w:tc>
          <w:tcPr>
            <w:tcW w:w="1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8,259</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 GEM promissory note</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Agile</w:t>
            </w:r>
          </w:p>
        </w:tc>
        <w:tc>
          <w:tcPr>
            <w:tcW w:w="3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- 1800 Diagonal</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debt</w:t>
            </w:r>
          </w:p>
        </w:tc>
        <w:tc>
          <w:tcPr>
            <w:tcW w:w="3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Total capital expenditure commitments and financing requirements at December 31,</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11,629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3,001</w:t>
            </w:r>
          </w:p>
        </w:tc>
        <w:tc>
          <w:tcPr>
            <w:tcW w:w="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194"/>
        </w:trPr>
        <w:tc>
          <w:tcPr>
            <w:tcW w:w="12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2024</w:t>
            </w:r>
          </w:p>
        </w:tc>
        <w:tc>
          <w:tcPr>
            <w:tcW w:w="51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-281940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-281940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- 15.5% CP BF Convertible Note</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70,000 shares of the Company's Class A Common Stock. On September 23, 2024 the transaction was finalized and the Company issued the 2024 CP BF Convertible Note with a principal amount of $10,758,775. Pursuant to the CP BF SPA, CP BF agreed to convert $2,000,000 in debt into 260,849 shares of Class A Common Stock, CP BF Warrants to purchase up to 565,553 shares of Class A Common Stock and CP BF Pre-Funded Warrants to purchase up to 304,704 shares of Class A Common Stock (all such securities and shares collectively referred to as the “CP BF Registrable Securities”).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 Upon the occurrence, and during the continuance, of an Event of Default (as defined in the agreement), interest on the 2024 CP BF Convertible Note will bear PIK interest at a per annum rate of 20% (“2024 Default Rate”).</w:t>
      </w:r>
    </w:p>
    <w:p>
      <w:pPr>
        <w:spacing w:after="0" w:line="19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Additionally, 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principal - GEM Promissory Note</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20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November 15, 2024, the Company issued additional 150,000 shares to settle partial unpaid GEM promissory note balance. As of December 31, 2024, the Company has issued an aggregate of 190,000 shares of Class A Common Stock to GEM in lieu of monthly payment obligations and the remaining balance of the GEM Promissory Note as of December 31, 2024 is $215,057.</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Notes (Agile)</w:t>
      </w:r>
    </w:p>
    <w:p>
      <w:pPr>
        <w:spacing w:after="0" w:line="20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w:t>
      </w:r>
    </w:p>
    <w:p>
      <w:pPr>
        <w:spacing w:after="0" w:line="14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spacing w:after="0" w:line="14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$2,400,000 and received $1,782,438 of proceeds, net of administrative agent fees of $120,000 paid to the collateral agent, and net of payments to Agile Lending, LLC of $319,500 and $178,063 in respect to early prepayment of the remaining outstanding balances of the July Agile Note and September Agile Note, with a maturity date on the December Agile Note of July 10, 2025. The December Agile Note bears interest at a rate of 44%, and interest will be calculated on a three hundred and sixty (360) day year based on the actual number of days lapsed, and interest shall accrue on the December Agile Note commencing on and including the effective date pursuant to the December Agile Note Agreement’s weekly repayment and amortization schedule.</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color w:val="auto"/>
        </w:rPr>
        <w:t>The July Agile Note, the September Agile Note, and the December Agile Note are together referred to as the “Agile Notes”.</w:t>
      </w:r>
    </w:p>
    <w:p>
      <w:pPr>
        <w:spacing w:after="0" w:line="22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Agile Notes include contingent redemption (put) rights which trigger mandatory prepayment and a make-whole premium upon certain events including an event of default, and defaulted contingent interest upon an event of default.</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9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Interest expense on the Agile Notes totaled $100,095 and $228,031 for the three and twelve months ended December 31, 2024 and is included in the fair value of the note.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(1800 Diagonal)</w:t>
      </w:r>
    </w:p>
    <w:p>
      <w:pPr>
        <w:spacing w:after="0" w:line="18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$160,000 of proceeds, net of an original issue discount of $24,000,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$108,000 of proceeds, net of an original discount of $16,200, with a maturity date of July 30, 2025. The stated interest rate on the September Note is 12% per annum, and interest shall accrue on the September Note commencing on and including the issuance date pursuant to the September Note Agreement's repayment and amortization schedule.</w:t>
      </w:r>
    </w:p>
    <w:p>
      <w:pPr>
        <w:spacing w:after="0" w:line="13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$124,200 and received $108,000 of proceeds, net of an original discount of $16,200, with a maturity date of October 15, 2025. The stated interest rate on the December Note is 12% per annum, and interest shall accrue on the December Note commencing on and including the issuance date pursuant to the December Note Agreement's repayment and amortization schedule.</w:t>
      </w:r>
    </w:p>
    <w:p>
      <w:pPr>
        <w:spacing w:after="0" w:line="13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August 1800 Diagonal Note, the September 1800 Diagonal Note, and the December 1800 Diagonal Note are together referred to as the “1800 Diagonal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6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1800 Diagonal Notes include optional conversion rights to the holder upon an event of default, contingent redemption (put) rights which trigger mandatory prepayment upon event of default, and defaulted contingent interest upon an event of default.</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Due to these embedded features within the 1800 Diagonal Notes, the Company elected to account for the 1800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43"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Interest expense on the 1800 Diagonal Notes totaled approximately 12,251.00 and $15,935 for the three and twelve months ended December 31, 2024 and is included in the fair value of the note.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on Debt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Interest on debt totals $0.5 million for the year ended December 31, 2024, representing the aggregate interest expenses / payments obligation to be paid and to be recognized during the rest of the terms of the Loan Agreements and Notes, described above.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Banzai has an operating lease for its real estate for office use. The lease term expires in October 2027. Banzai adopted ASC 842 Leases by applying the guidance at adoption date, January 1, 2022. The $22,731 balance recognized as of December 31, 2024 represents the future minimum lease payments under non-cancellable leases as liabilities.</w:t>
      </w:r>
    </w:p>
    <w:p>
      <w:pPr>
        <w:sectPr>
          <w:pgSz w:w="11900" w:h="16838" w:orient="portrait"/>
          <w:cols w:equalWidth="0" w:num="1">
            <w:col w:w="11240"/>
          </w:cols>
          <w:pgMar w:left="320" w:top="1269"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Structure and Maturity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 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2024</w:t>
      </w:r>
    </w:p>
    <w:p>
      <w:pPr>
        <w:spacing w:after="0" w:line="9" w:lineRule="exact"/>
        <w:rPr>
          <w:sz w:val="20"/>
          <w:szCs w:val="20"/>
          <w:color w:val="auto"/>
        </w:rPr>
      </w:pPr>
    </w:p>
    <w:p>
      <w:pPr>
        <w:ind w:left="20" w:right="380"/>
        <w:spacing w:after="0" w:line="250" w:lineRule="auto"/>
        <w:rPr>
          <w:sz w:val="20"/>
          <w:szCs w:val="20"/>
          <w:color w:val="auto"/>
        </w:rPr>
      </w:pPr>
      <w:r>
        <w:rPr>
          <w:rFonts w:ascii="Times New Roman" w:cs="Times New Roman" w:eastAsia="Times New Roman" w:hAnsi="Times New Roman"/>
          <w:sz w:val="18"/>
          <w:szCs w:val="18"/>
          <w:color w:val="auto"/>
        </w:rPr>
        <w:t>Debt principal - 15.5% CP BF convertible notes Debt principal - GEM promissory note Debt principal - Agile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principal - 1800 Diagonal</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debt carrying values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rPr>
              <w:t>Debt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8"/>
              </w:rPr>
              <w:t>Premium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(Discount)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Issuance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8"/>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Carrying Value and</w:t>
            </w:r>
          </w:p>
        </w:tc>
      </w:tr>
      <w:tr>
        <w:trPr>
          <w:trHeight w:val="238"/>
        </w:trPr>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i w:val="1"/>
                <w:iCs w:val="1"/>
                <w:color w:val="auto"/>
                <w:w w:val="96"/>
              </w:rPr>
              <w:t>Cost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w:t>
            </w:r>
          </w:p>
        </w:tc>
      </w:tr>
      <w:tr>
        <w:trPr>
          <w:trHeight w:val="407"/>
        </w:trPr>
        <w:tc>
          <w:tcPr>
            <w:tcW w:w="1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8,640</w:t>
            </w:r>
          </w:p>
        </w:tc>
      </w:tr>
      <w:tr>
        <w:trPr>
          <w:trHeight w:val="216"/>
        </w:trPr>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3,143</w:t>
            </w:r>
          </w:p>
        </w:tc>
      </w:tr>
      <w:tr>
        <w:trPr>
          <w:trHeight w:val="234"/>
        </w:trPr>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r>
      <w:tr>
        <w:trPr>
          <w:trHeight w:val="20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11,115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12,430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-719455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-445135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-162560</wp:posOffset>
            </wp:positionV>
            <wp:extent cx="713232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660"/>
          </w:cols>
          <w:pgMar w:left="320" w:top="1269"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color w:val="auto"/>
        </w:rPr>
        <w:t>The Agile Notes and 1800 Diagonal Notes are presented at its fair value on the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ASC 606, revenue is recognized throughout the life of the executed agreement. Banzai measures revenue based on considerations specified in terms and conditions agreed to by a customer. Furthermore, Banzai recognizes revenue in an amount that reflects the consideration we expect to be entitled to in exchange for those services. The performance obligation is satisfied by transferring control of the service to the customer, which occurs over time.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Banzai’s existing lease contains an escalation clause. Prior to adoption of ASU 2016-02 effective January 1, 2022, Banzai accounted for operating lease transactions by recording lease expense on a straight-line basis over the expected term of the lease.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entered into a sublease which it had identified as an operating lease prior to the adoption of ASC 842 Leases. Banzai remains the primary obligor to the head lease lessor, making rental payments directly to the lessor and separately billing the sublessee. The sublease is subordinated to the master lease, and the sublessee must comply with all applicable terms of the master lease. Banzai subleased the real estate to a third-party at a monthly rental payment amount that was less than the monthly cost that it pays on the headlease with the lessor.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underwriting fees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December 28, 2023, the Company and Cantor amended the Fee Reduction Agreement to provide that the Reduced Deferred Fee was payable in the form of 22,279 shares of Class A Common Stock and to provide that Cantor is subject to a 12-month lock-up with respect to the Cantor Fee Shares. On December 28, 2023, the Company issued the Cantor Fee Shares to Cantor, covering the Reduced Deferred Fee in accordance with the Fee Reduction Agreement. The fair value of the 22,279 shares of Class A Common Stock was determined to be $2,450,639 on December 28, 2023 based on the Company's opening stock price of $110.00. As of December 31, 2024, the Company has satisfied its Cantor Registration Rights Obligations. Therefore, the liability was derecognized as of December 31, 2024 and the relief of the liability was recorded through equity.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 commitment fee liability</w:t>
      </w:r>
    </w:p>
    <w:p>
      <w:pPr>
        <w:spacing w:after="0" w:line="18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May 2022, the Company entered into a Share Purchase Agreement with GEM Global Yield LLC SCS and GEM Yield Bahamas Limited (collectively, “GEM”) (the “GEM Agreement”) pursuant to which, among other things, upon the terms and subject to the conditions of the GEM Agreement, GEM is to purchase from the Company (or its successor following a Reverse Merger Transaction (as defined in the GEM Agreement)) up to the number of duly authorized, validly issued, fully paid and non-assessable shares of common stock having an aggregate value of $100,000,000 (the “GEM Financing”). Further, in terms of the GEM Agreement, on the Public Listing Date, the Company was required to make and execute a warrant ("GEM Warrant") granting GEM the right to purchase up to the number of common shares of the Company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w:t>
      </w:r>
    </w:p>
    <w:p>
      <w:pPr>
        <w:spacing w:after="0" w:line="1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December 13, 2023, the Company and GEM entered into a binding term sheet (the “GEM Term Sheet”) and, on December 14, 2023, a letter agreement (the “GEM Letter”), agreeing to terminate in its entirety the GEM Agreement by and between the Company and GEM, other than with respect to the Company’s obligation (as the post-combination company in the Merger) to issue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2024,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recognized, concurrent with the close of the merger, a liability for the GEM commitment fee, along with a corresponding GEM commitment fee expense, in the amount of $2.0 million.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note in the amount of $1.0 million, payable in monthly installments of $100,000 beginning on March 1, 2024, with the final payment to be made on December 1, 2024 (the “GEM Promissory Note”).</w:t>
      </w:r>
    </w:p>
    <w:p>
      <w:pPr>
        <w:spacing w:after="0" w:line="16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As of the date of these consolidated financial statements, we have issued an aggregate of 190,000 shares of Class A Common Stock to GEM in lieu of monthly payment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Banzai had no off-balance sheet arrangements as of December 31, 2024.</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is not applicable as we are a smaller reporting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8 is included at the end of this Annual Report beginning on page F-1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Based on an evaluation of our disclosure controls and procedures (as defined in Rules 13a-15(e) and 15d-15(e) of the Securities Exchange Act of 1934, as amended) required by paragraph (b) of Rule 13a-15 or Rule 15d-15, as of December 31, 2024, our Principal Executive Officer and Principal Financial Officer have concluded that, due to the material weaknesses in our internal control over financial reporting noted below, our disclosure controls and procedures were not effective.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by the Securities and Exchange Commission,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accounting principles generally accepted in the United States of America.</w:t>
      </w:r>
    </w:p>
    <w:p>
      <w:pPr>
        <w:spacing w:after="0" w:line="15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internal control system was designed to provide reasonable assurances to our management and the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2024. In making this assessment, management used the criteria set forth by the Committee of Sponsoring Organizations of the Treadway Commission in Internal Control — Integrated Framework (2013). The COSO Framework summarizes each of the components of a company’s internal control system, including (i) the control environment, (ii) risk assessment, (iii) control activities, (iv) information and communication, and (v) monitoring.</w:t>
      </w:r>
    </w:p>
    <w:p>
      <w:pPr>
        <w:spacing w:after="0" w:line="9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Based on that evaluation, as of December 31, 2024, our principal executive officer and principal financial officer concluded that our internal controls and procedures are not effective, and that we have material weaknesses in our IT General Controls, adherence to the COSO Integrated Framework, and period end financial close and reporting process as described below. As a result, these control deficiencies could have resulted in a material misstatement in our financial statements that would not be prevented or detected on a timely basis.</w:t>
      </w:r>
    </w:p>
    <w:p>
      <w:pPr>
        <w:spacing w:after="0" w:line="153" w:lineRule="exact"/>
        <w:rPr>
          <w:sz w:val="20"/>
          <w:szCs w:val="20"/>
          <w:color w:val="auto"/>
        </w:rPr>
      </w:pPr>
    </w:p>
    <w:p>
      <w:pPr>
        <w:ind w:right="20" w:firstLine="457"/>
        <w:spacing w:after="0" w:line="282" w:lineRule="auto"/>
        <w:tabs>
          <w:tab w:leader="none" w:pos="7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General Controls - We did not maintain an effective IT control environment because we did not maintain sufficient provisioning, deprovisioning, user access reviews, and reviews of service organizations.</w:t>
      </w:r>
    </w:p>
    <w:p>
      <w:pPr>
        <w:spacing w:after="0" w:line="161" w:lineRule="exact"/>
        <w:rPr>
          <w:rFonts w:ascii="Times New Roman" w:cs="Times New Roman" w:eastAsia="Times New Roman" w:hAnsi="Times New Roman"/>
          <w:sz w:val="18"/>
          <w:szCs w:val="18"/>
          <w:color w:val="auto"/>
        </w:rPr>
      </w:pPr>
    </w:p>
    <w:p>
      <w:pPr>
        <w:ind w:firstLine="457"/>
        <w:spacing w:after="0" w:line="282" w:lineRule="auto"/>
        <w:tabs>
          <w:tab w:leader="none" w:pos="7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COSO Entity Level Controls - We did not maintain effective controls over the identification and monitoring of related party relationships and transactions and have not yet implemented a formal delegation of authority process.</w:t>
      </w:r>
    </w:p>
    <w:p>
      <w:pPr>
        <w:spacing w:after="0" w:line="161" w:lineRule="exact"/>
        <w:rPr>
          <w:rFonts w:ascii="Times New Roman" w:cs="Times New Roman" w:eastAsia="Times New Roman" w:hAnsi="Times New Roman"/>
          <w:sz w:val="18"/>
          <w:szCs w:val="18"/>
          <w:color w:val="auto"/>
        </w:rPr>
      </w:pPr>
    </w:p>
    <w:p>
      <w:pPr>
        <w:jc w:val="both"/>
        <w:ind w:firstLine="457"/>
        <w:spacing w:after="0" w:line="266" w:lineRule="auto"/>
        <w:tabs>
          <w:tab w:leader="none" w:pos="7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end financial close and reporting - Administrative access to the General Ledger (GL) system is not restricted to non-financial reporting users, creating a potential segregation of duties conflict. Given the concentration of responsibility includes approval of key transactions, bank account reconciliations, and journal entries, administrative access to the G/L system should be restricted to personnel outside of Accounting and Finance function.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committed to the remediation of the material weaknesses described above, as well as the continued improvement of our internal control over financial reporting. We remain in the process of taking steps to remediate the identified material weaknesses and continue to evaluate our internal controls over financial reporting, including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 General Controls:</w:t>
      </w:r>
    </w:p>
    <w:p>
      <w:pPr>
        <w:spacing w:after="0" w:line="335" w:lineRule="exact"/>
        <w:rPr>
          <w:sz w:val="20"/>
          <w:szCs w:val="20"/>
          <w:color w:val="auto"/>
        </w:rPr>
      </w:pPr>
    </w:p>
    <w:p>
      <w:pPr>
        <w:jc w:val="both"/>
        <w:ind w:left="960" w:hanging="512"/>
        <w:spacing w:after="0" w:line="266"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FY 2025, we are utilizing the services of external consultants to review our internal controls environment and make recommendations to remediate the material weaknesses in our financial reporting, including the remediation of the design of controls over provisioning, deprovisioning, access monitoring, and reviews of service organizations and complementary user entity controls.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COSO Entity Level Controls:</w:t>
      </w:r>
    </w:p>
    <w:p>
      <w:pPr>
        <w:spacing w:after="0" w:line="335" w:lineRule="exact"/>
        <w:rPr>
          <w:sz w:val="20"/>
          <w:szCs w:val="20"/>
          <w:color w:val="auto"/>
        </w:rPr>
      </w:pPr>
    </w:p>
    <w:p>
      <w:pPr>
        <w:ind w:left="960" w:hanging="512"/>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utilize the services of external consultants to assist enhancement and robustness of entity level controls, leveraging the formal COSO mapping and maintenance of entity level controls currently being performed.</w:t>
      </w:r>
    </w:p>
    <w:p>
      <w:pPr>
        <w:spacing w:after="0" w:line="269"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we will continue with the process of implementing controls to identify and monitor related party relationships and transactions and to finalize a formal delegation of authority process.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 End Financial Close and Reporting:</w:t>
      </w:r>
    </w:p>
    <w:p>
      <w:pPr>
        <w:spacing w:after="0" w:line="335" w:lineRule="exact"/>
        <w:rPr>
          <w:sz w:val="20"/>
          <w:szCs w:val="20"/>
          <w:color w:val="auto"/>
        </w:rPr>
      </w:pPr>
    </w:p>
    <w:p>
      <w:pPr>
        <w:ind w:left="960" w:right="20" w:hanging="512"/>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conduct an assessment, and where necessary perform remedial actions, of our overall security role design and privileged user access for each of our in-scope applications, including our general ledger system.</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As we continue our evaluation and improve our internal control over financial reporting, management may identify and take additional measures to address control deficiencies but cannot provide absolute assurance that we will be successful in remediating the material weaknesses in a timely manner.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6" w:name="page77"/>
    <w:bookmarkEnd w:id="76"/>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exemptions provided to issuers that are non-accelerated filers as defined in Section 2(a) of the Securities Act of 1933.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required by Rule 13a-15(d) of the Exchange Act, our management, including our principal executive officer and our principal financial officer, conducted an evaluation of the internal control over financial reporting to determine whether any changes occurred during the period ended December 31, 2024, that have materially affected, or are reasonably likely to materially affect, our internal control over financial reporting. Based on that evaluation, our principal executive officer and principal financial officer concluded that the merger transaction with OpenReel is considered a significant corporate event during the period ended December 31, 2024.</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December 18, 2024, our company closed and completed a merger with ClearDoc, Inc., a Delaware corporation doing business as OpenReel, pursuant to an Agreement and Plan of Merger dated December 10, 2024, by and among the company, OpenReel, certain stockholders of OpenReel and Banzai Reel Acquisition, Inc., a Delaware corporation and wholly owned subsidiary of Banzai, that was formed solely for purposes of consummating the Merger. As a result, there have been material changes to our internal control environment. Our management has begun to assess and adjust our internal control processes to accommodate the integration of systems, personnel, and financial reporting functions. We will work on implementing additional controls to address the combined entity’s financial reporting requirements, ensuring accuracy, reliability, and compliance. While we believe these adjustments will enhance our overall control framework, we continue to monitor and evaluate their effectiveness to maintain the highest standards of financial reporting integrity.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PART III</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r>
      <w:tr>
        <w:trPr>
          <w:trHeight w:val="30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32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238"/>
        </w:trPr>
        <w:tc>
          <w:tcPr>
            <w:tcW w:w="3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2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Joseph P. Davy</w:t>
            </w:r>
          </w:p>
        </w:tc>
        <w:tc>
          <w:tcPr>
            <w:tcW w:w="1320" w:type="dxa"/>
            <w:vAlign w:val="bottom"/>
          </w:tcPr>
          <w:p>
            <w:pPr>
              <w:jc w:val="center"/>
              <w:ind w:left="410"/>
              <w:spacing w:after="0" w:line="191" w:lineRule="exact"/>
              <w:rPr>
                <w:sz w:val="20"/>
                <w:szCs w:val="20"/>
                <w:color w:val="auto"/>
              </w:rPr>
            </w:pPr>
            <w:r>
              <w:rPr>
                <w:rFonts w:ascii="Times New Roman" w:cs="Times New Roman" w:eastAsia="Times New Roman" w:hAnsi="Times New Roman"/>
                <w:sz w:val="18"/>
                <w:szCs w:val="18"/>
                <w:color w:val="auto"/>
                <w:w w:val="99"/>
              </w:rPr>
              <w:t>35</w:t>
            </w:r>
          </w:p>
        </w:tc>
        <w:tc>
          <w:tcPr>
            <w:tcW w:w="66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Chief Executive Officer, Chairman and Director</w:t>
            </w: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Alvin Yip</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59</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Simon Baumer</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39</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 Leeney (3)</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39</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Mason Ward (1)(2)(3)</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43</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Paula Boggs (1)(2)(3)</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65</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Kent Schofield (1)(2)</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44</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36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2"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480" w:hanging="368"/>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 Biographies</w:t>
      </w:r>
    </w:p>
    <w:p>
      <w:pPr>
        <w:spacing w:after="0" w:line="22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P. Davy </w:t>
      </w:r>
      <w:r>
        <w:rPr>
          <w:rFonts w:ascii="Times New Roman" w:cs="Times New Roman" w:eastAsia="Times New Roman" w:hAnsi="Times New Roman"/>
          <w:sz w:val="18"/>
          <w:szCs w:val="18"/>
          <w:color w:val="auto"/>
        </w:rPr>
        <w:t>serves as our Chief Executive Officer and a member of our Board and prior to the Business Combination, served as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spacing w:after="0" w:line="185"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Alvin Yip </w:t>
      </w:r>
      <w:r>
        <w:rPr>
          <w:rFonts w:ascii="Times New Roman" w:cs="Times New Roman" w:eastAsia="Times New Roman" w:hAnsi="Times New Roman"/>
          <w:sz w:val="18"/>
          <w:szCs w:val="18"/>
          <w:color w:val="auto"/>
        </w:rPr>
        <w:t>serves as our Interim Chief Financial Officer and prior to this, served as Legacy Banzai’s Corporate Controller since 2022. Prior to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Yip worked at Pax Lab Inc as Director of Accounting from 2021 to 2022, as a Chief Financial consultant at RGP from 2018 to 2021, as a Corporate Controller at 24/7.ai from 2010 to 2018.</w:t>
      </w:r>
    </w:p>
    <w:p>
      <w:pPr>
        <w:spacing w:after="0" w:line="171"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Simon Baumer </w:t>
      </w:r>
      <w:r>
        <w:rPr>
          <w:rFonts w:ascii="Times New Roman" w:cs="Times New Roman" w:eastAsia="Times New Roman" w:hAnsi="Times New Roman"/>
          <w:sz w:val="18"/>
          <w:szCs w:val="18"/>
          <w:color w:val="auto"/>
        </w:rPr>
        <w:t>serves as our Chief Technology Officer and prior to this, served as Legacy Banzai’s Chief Technology Officer since 2021.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Mr. Baumer worked at Verivox GmbH as Vice President of Engineering from 2018 to 2021, as Head of Software Development from 2016 to 2021, and as Teamlead for Software Development from 2015 to 2021.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Biographies</w:t>
      </w:r>
    </w:p>
    <w:p>
      <w:pPr>
        <w:spacing w:after="0" w:line="25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Leeney </w:t>
      </w:r>
      <w:r>
        <w:rPr>
          <w:rFonts w:ascii="Times New Roman" w:cs="Times New Roman" w:eastAsia="Times New Roman" w:hAnsi="Times New Roman"/>
          <w:sz w:val="18"/>
          <w:szCs w:val="18"/>
          <w:color w:val="auto"/>
        </w:rPr>
        <w:t>has served as a member of the Board since 2023 and prior thereto, served as 7GC’s Chairman and Chief Executive Officer since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spacing w:after="0" w:line="190" w:lineRule="exact"/>
        <w:rPr>
          <w:sz w:val="20"/>
          <w:szCs w:val="20"/>
          <w:color w:val="auto"/>
        </w:rPr>
      </w:pPr>
    </w:p>
    <w:p>
      <w:pPr>
        <w:jc w:val="both"/>
        <w:ind w:firstLine="4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Mason Ward </w:t>
      </w:r>
      <w:r>
        <w:rPr>
          <w:rFonts w:ascii="Times New Roman" w:cs="Times New Roman" w:eastAsia="Times New Roman" w:hAnsi="Times New Roman"/>
          <w:sz w:val="18"/>
          <w:szCs w:val="18"/>
          <w:color w:val="auto"/>
        </w:rPr>
        <w:t>has served as a member of the Board since December 2023, and prior to this, has served as the Chief Financial Officer of Alco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spacing w:after="0" w:line="17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Paula Boggs </w:t>
      </w:r>
      <w:r>
        <w:rPr>
          <w:rFonts w:ascii="Times New Roman" w:cs="Times New Roman" w:eastAsia="Times New Roman" w:hAnsi="Times New Roman"/>
          <w:sz w:val="18"/>
          <w:szCs w:val="18"/>
          <w:color w:val="auto"/>
        </w:rPr>
        <w:t>has served as a member of the Board since December 2023, and prior to this, is the founder and owner of Boggs Media,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Kent Schofield </w:t>
      </w:r>
      <w:r>
        <w:rPr>
          <w:rFonts w:ascii="Times New Roman" w:cs="Times New Roman" w:eastAsia="Times New Roman" w:hAnsi="Times New Roman"/>
          <w:sz w:val="18"/>
          <w:szCs w:val="18"/>
          <w:color w:val="auto"/>
        </w:rPr>
        <w:t>holds a bachelor’s degree in economics from UCLA and has a distinguished career in finance and corporate development.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 See “</w:t>
      </w:r>
      <w:r>
        <w:rPr>
          <w:rFonts w:ascii="Times New Roman" w:cs="Times New Roman" w:eastAsia="Times New Roman" w:hAnsi="Times New Roman"/>
          <w:sz w:val="18"/>
          <w:szCs w:val="18"/>
          <w:i w:val="1"/>
          <w:iCs w:val="1"/>
          <w:color w:val="auto"/>
        </w:rPr>
        <w:t>Description of Securities-Anti-Takeover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Delaware Law and the Charter</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right="20"/>
        <w:spacing w:after="0" w:line="282" w:lineRule="auto"/>
        <w:rPr>
          <w:sz w:val="20"/>
          <w:szCs w:val="20"/>
          <w:color w:val="auto"/>
        </w:rPr>
      </w:pPr>
      <w:r>
        <w:rPr>
          <w:rFonts w:ascii="Times New Roman" w:cs="Times New Roman" w:eastAsia="Times New Roman" w:hAnsi="Times New Roman"/>
          <w:sz w:val="18"/>
          <w:szCs w:val="18"/>
          <w:color w:val="auto"/>
        </w:rPr>
        <w:t>subsequently). There is no cumulative voting with respect to the election of directors, with the result that the holders of more than 50% of the shares voted for the election of directors can elect all of the directors.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is divided into the following classes:</w:t>
      </w:r>
    </w:p>
    <w:p>
      <w:pPr>
        <w:spacing w:after="0" w:line="185" w:lineRule="exact"/>
        <w:rPr>
          <w:sz w:val="20"/>
          <w:szCs w:val="20"/>
          <w:color w:val="auto"/>
        </w:rPr>
      </w:pPr>
    </w:p>
    <w:p>
      <w:pPr>
        <w:ind w:left="960" w:hanging="51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Joseph Davy and Kent Schoefield, whose term will expire at the Company’s annual meeting of stockholders to be held in 2027;</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Mason Ward, whose term will expire at the Company’s annual meeting of stockholders to be held in 2025; and</w:t>
      </w:r>
    </w:p>
    <w:p>
      <w:pPr>
        <w:spacing w:after="0" w:line="11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Paula Boggs and Jack Leeney, whose terms will expire at the Company’s third annual meeting of stockholders to be held in 2026.</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Committee Composition</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 w:cs="Times New Roman" w:eastAsia="Times New Roman" w:hAnsi="Times New Roman"/>
          <w:sz w:val="18"/>
          <w:szCs w:val="18"/>
          <w:i w:val="1"/>
          <w:iCs w:val="1"/>
          <w:color w:val="auto"/>
        </w:rPr>
        <w:t>https://ir.banzai.io/corporate-governance/governance-overview</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 Corporate</w:t>
            </w:r>
          </w:p>
        </w:tc>
      </w:tr>
      <w:tr>
        <w:trPr>
          <w:trHeight w:val="238"/>
        </w:trPr>
        <w:tc>
          <w:tcPr>
            <w:tcW w:w="2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8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Governance Committee</w:t>
            </w:r>
          </w:p>
        </w:tc>
      </w:tr>
      <w:tr>
        <w:trPr>
          <w:trHeight w:val="191"/>
        </w:trPr>
        <w:tc>
          <w:tcPr>
            <w:tcW w:w="25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Joseph P. Davy</w:t>
            </w:r>
          </w:p>
        </w:tc>
        <w:tc>
          <w:tcPr>
            <w:tcW w:w="3140" w:type="dxa"/>
            <w:vAlign w:val="bottom"/>
          </w:tcPr>
          <w:p>
            <w:pPr>
              <w:jc w:val="center"/>
              <w:ind w:left="63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2860" w:type="dxa"/>
            <w:vAlign w:val="bottom"/>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 Leeney</w:t>
            </w:r>
          </w:p>
        </w:tc>
        <w:tc>
          <w:tcPr>
            <w:tcW w:w="31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28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tcPr>
          <w:p>
            <w:pPr>
              <w:spacing w:after="0"/>
              <w:rPr>
                <w:sz w:val="19"/>
                <w:szCs w:val="19"/>
                <w:color w:val="auto"/>
              </w:rPr>
            </w:pPr>
          </w:p>
        </w:tc>
      </w:tr>
      <w:tr>
        <w:trPr>
          <w:trHeight w:val="229"/>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Mason Ward</w:t>
            </w:r>
          </w:p>
        </w:tc>
        <w:tc>
          <w:tcPr>
            <w:tcW w:w="3140" w:type="dxa"/>
            <w:vAlign w:val="bottom"/>
          </w:tcPr>
          <w:p>
            <w:pPr>
              <w:spacing w:after="0"/>
              <w:rPr>
                <w:sz w:val="19"/>
                <w:szCs w:val="19"/>
                <w:color w:val="auto"/>
              </w:rPr>
            </w:pPr>
          </w:p>
        </w:tc>
        <w:tc>
          <w:tcPr>
            <w:tcW w:w="2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Chair</w:t>
            </w:r>
          </w:p>
        </w:tc>
        <w:tc>
          <w:tcPr>
            <w:tcW w:w="2740" w:type="dxa"/>
            <w:vAlign w:val="bottom"/>
          </w:tcPr>
          <w:p>
            <w:pPr>
              <w:spacing w:after="0"/>
              <w:rPr>
                <w:sz w:val="19"/>
                <w:szCs w:val="19"/>
                <w:color w:val="auto"/>
              </w:rPr>
            </w:pPr>
          </w:p>
        </w:tc>
      </w:tr>
      <w:tr>
        <w:trPr>
          <w:trHeight w:val="230"/>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Paula Boggs</w:t>
            </w:r>
          </w:p>
        </w:tc>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34"/>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Kent Schofield</w:t>
            </w:r>
          </w:p>
        </w:tc>
        <w:tc>
          <w:tcPr>
            <w:tcW w:w="31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Chair</w:t>
            </w:r>
          </w:p>
        </w:tc>
        <w:tc>
          <w:tcPr>
            <w:tcW w:w="286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-574040</wp:posOffset>
            </wp:positionV>
            <wp:extent cx="3617595" cy="5829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7595" cy="582930"/>
                    </a:xfrm>
                    <a:prstGeom prst="rect">
                      <a:avLst/>
                    </a:prstGeom>
                    <a:noFill/>
                  </pic:spPr>
                </pic:pic>
              </a:graphicData>
            </a:graphic>
          </wp:anchor>
        </w:drawing>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Report,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spacing w:after="0" w:line="183" w:lineRule="exact"/>
        <w:rPr>
          <w:sz w:val="20"/>
          <w:szCs w:val="20"/>
          <w:color w:val="auto"/>
        </w:rPr>
      </w:pPr>
    </w:p>
    <w:p>
      <w:pPr>
        <w:ind w:left="960" w:hanging="51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its corporate accounting and financial reporting processes;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adequacy and effectiveness of our disclosure controls and procedures;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117"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6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Mason Ward, who serves as the chairperson, Paula Boggs and Kent. Schofield. Each member is independent under the listing standards of Nasdaq, including Nasdaq’s controlled company exemption which is discussed below, and a “non-employee director” as defined in Rule 16b-3 promulgated under the Exchange Act.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left="960" w:hanging="51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Company’s Board the compensation of the Chief Executive Officer and other executive officers;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the Company’s directors;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and other benefit programs;</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p>
      <w:pPr>
        <w:spacing w:after="0" w:line="6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Company’s employees, including the Company’s overall compensation philosophy; and</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the succession plans for the Company’s executive officers.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Paula Boggs, who serves as the chairperson, Jack Leeney and Mason Ward. Each member is independent under the listing standards of Nasdaq, including Nasdaq’s controlled company exemption which is discussed below.</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the Nominating and Corporate Governance Committee include:</w:t>
      </w:r>
    </w:p>
    <w:p>
      <w:pPr>
        <w:spacing w:after="0" w:line="117" w:lineRule="exact"/>
        <w:rPr>
          <w:sz w:val="20"/>
          <w:szCs w:val="20"/>
          <w:color w:val="auto"/>
        </w:rPr>
      </w:pPr>
    </w:p>
    <w:p>
      <w:pPr>
        <w:ind w:left="960" w:hanging="512"/>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including the nomination of incumbent directors for reelection and nominees recommended by stockholders, to serve on the Board;</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117"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Chief Executive Officer the plans for succession to the offices of the Company’s executive officers and make recommendations to the Board with respect to the selection of appropriate individuals to succeed to these positions;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https://ir.banzai.io/corporate-governance/governance-overview.We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during the Company’s last fiscal year one of its officers or employees. None of the Company’s executive officers currently serves, or has served during the last year, as a member of the Board or Compensation Committee of any entity that has one or more executive officers that serve as a member of the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2" w:name="page83"/>
    <w:bookmarkEnd w:id="82"/>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beneficial owners of more than 10% of our common stock to file reports with the SEC indicating their holdings of, and transactions in, Banzai’s equity securities. Based solely on a review of copies of these reports, we believe that other than the reports listed below, all of our executive officers, directors, and 10% owners timely complied with all Section 16(a) filing requirements in 2024. As of the date of this Report, they have all been filed, but the following persons filed his/her Form 5 late: Mr. Davy, Mr. Schoefield, Mr. Ward, Mrs. Levesque, Mrs. Boggs and Mr. Musburger.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fiscal year ended December 31, 2024, consisting of our principal executive officer, principal financial officer and the next two most highly compensated executive officers, were: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Joseph P. Davy, our Chief Executive Officer;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Musburger, our Chief Financial Officer(1);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Simon Baumer, our Chief Technology Officer;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Ashley Levesque, our Vice President of Marketing(2).</w:t>
      </w:r>
    </w:p>
    <w:p>
      <w:pPr>
        <w:spacing w:after="0" w:line="207" w:lineRule="exact"/>
        <w:rPr>
          <w:sz w:val="20"/>
          <w:szCs w:val="20"/>
          <w:color w:val="auto"/>
        </w:rPr>
      </w:pPr>
    </w:p>
    <w:p>
      <w:pPr>
        <w:ind w:left="540" w:hanging="519"/>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2024, Ashley Levesque resigned from her position as Vice President of Marketing.</w:t>
      </w:r>
    </w:p>
    <w:p>
      <w:pPr>
        <w:spacing w:after="0" w:line="225" w:lineRule="exact"/>
        <w:rPr>
          <w:rFonts w:ascii="Times New Roman" w:cs="Times New Roman" w:eastAsia="Times New Roman" w:hAnsi="Times New Roman"/>
          <w:sz w:val="18"/>
          <w:szCs w:val="18"/>
          <w:color w:val="auto"/>
        </w:rPr>
      </w:pPr>
    </w:p>
    <w:p>
      <w:pPr>
        <w:ind w:left="540" w:hanging="519"/>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2024, Mark Musburger resigned from his position as Chief Financial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2024 Summary Compensation Table</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paid or awarded to our named executive officers with respect to the fiscal years ended December 31, 2024 and, to the extent required by SEC disclosure rules,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0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Name and Principal</w:t>
            </w:r>
          </w:p>
        </w:tc>
        <w:tc>
          <w:tcPr>
            <w:tcW w:w="9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33"/>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tcPr>
          <w:p>
            <w:pPr>
              <w:jc w:val="center"/>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553"/>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17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Joseph P. Davy</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380" w:type="dxa"/>
            <w:vAlign w:val="bottom"/>
            <w:gridSpan w:val="2"/>
            <w:shd w:val="clear" w:color="auto" w:fill="CCEEFF"/>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310,417</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529,700</w:t>
            </w:r>
          </w:p>
        </w:tc>
        <w:tc>
          <w:tcPr>
            <w:tcW w:w="7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8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12,000</w:t>
            </w:r>
          </w:p>
        </w:tc>
        <w:tc>
          <w:tcPr>
            <w:tcW w:w="4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852,117</w:t>
            </w:r>
          </w:p>
        </w:tc>
        <w:tc>
          <w:tcPr>
            <w:tcW w:w="0" w:type="dxa"/>
            <w:vAlign w:val="bottom"/>
          </w:tcPr>
          <w:p>
            <w:pPr>
              <w:spacing w:after="0"/>
              <w:rPr>
                <w:sz w:val="1"/>
                <w:szCs w:val="1"/>
                <w:color w:val="auto"/>
              </w:rPr>
            </w:pPr>
          </w:p>
        </w:tc>
      </w:tr>
      <w:tr>
        <w:trPr>
          <w:trHeight w:val="234"/>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0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300,000</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12,000</w:t>
            </w:r>
          </w:p>
        </w:tc>
        <w:tc>
          <w:tcPr>
            <w:tcW w:w="4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312,000</w:t>
            </w:r>
          </w:p>
        </w:tc>
        <w:tc>
          <w:tcPr>
            <w:tcW w:w="0" w:type="dxa"/>
            <w:vAlign w:val="bottom"/>
          </w:tcPr>
          <w:p>
            <w:pPr>
              <w:spacing w:after="0"/>
              <w:rPr>
                <w:sz w:val="1"/>
                <w:szCs w:val="1"/>
                <w:color w:val="auto"/>
              </w:rPr>
            </w:pPr>
          </w:p>
        </w:tc>
      </w:tr>
      <w:tr>
        <w:trPr>
          <w:trHeight w:val="23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Alvin Yip (6)</w:t>
            </w:r>
          </w:p>
        </w:tc>
        <w:tc>
          <w:tcPr>
            <w:tcW w:w="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220,833</w:t>
            </w:r>
          </w:p>
        </w:tc>
        <w:tc>
          <w:tcPr>
            <w:tcW w:w="2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95"/>
              </w:rPr>
              <w:t>(8)</w:t>
            </w:r>
          </w:p>
        </w:tc>
        <w:tc>
          <w:tcPr>
            <w:tcW w:w="12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60,455</w:t>
            </w:r>
          </w:p>
        </w:tc>
        <w:tc>
          <w:tcPr>
            <w:tcW w:w="7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7"/>
                <w:szCs w:val="17"/>
                <w:color w:val="auto"/>
              </w:rPr>
            </w:pPr>
          </w:p>
        </w:tc>
        <w:tc>
          <w:tcPr>
            <w:tcW w:w="1420" w:type="dxa"/>
            <w:vAlign w:val="bottom"/>
            <w:gridSpan w:val="3"/>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281,288</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Interim Chief</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84,569</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155,819</w:t>
            </w:r>
          </w:p>
        </w:tc>
        <w:tc>
          <w:tcPr>
            <w:tcW w:w="0" w:type="dxa"/>
            <w:vAlign w:val="bottom"/>
          </w:tcPr>
          <w:p>
            <w:pPr>
              <w:spacing w:after="0"/>
              <w:rPr>
                <w:sz w:val="1"/>
                <w:szCs w:val="1"/>
                <w:color w:val="auto"/>
              </w:rPr>
            </w:pPr>
          </w:p>
        </w:tc>
      </w:tr>
      <w:tr>
        <w:trPr>
          <w:trHeight w:val="23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Musburger (4)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(3a)</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231,714</w:t>
            </w: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Chief Financial</w:t>
            </w:r>
          </w:p>
        </w:tc>
        <w:tc>
          <w:tcPr>
            <w:tcW w:w="9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216,000</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1,133,105</w:t>
            </w:r>
          </w:p>
        </w:tc>
        <w:tc>
          <w:tcPr>
            <w:tcW w:w="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1,349,105</w:t>
            </w:r>
          </w:p>
        </w:tc>
        <w:tc>
          <w:tcPr>
            <w:tcW w:w="0" w:type="dxa"/>
            <w:vAlign w:val="bottom"/>
          </w:tcPr>
          <w:p>
            <w:pPr>
              <w:spacing w:after="0"/>
              <w:rPr>
                <w:sz w:val="1"/>
                <w:szCs w:val="1"/>
                <w:color w:val="auto"/>
              </w:rPr>
            </w:pPr>
          </w:p>
        </w:tc>
      </w:tr>
      <w:tr>
        <w:trPr>
          <w:trHeight w:val="23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Simon Baumer</w:t>
            </w:r>
          </w:p>
        </w:tc>
        <w:tc>
          <w:tcPr>
            <w:tcW w:w="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291,223</w:t>
            </w:r>
          </w:p>
        </w:tc>
        <w:tc>
          <w:tcPr>
            <w:tcW w:w="280" w:type="dxa"/>
            <w:vAlign w:val="bottom"/>
          </w:tcPr>
          <w:p>
            <w:pPr>
              <w:spacing w:after="0"/>
              <w:rPr>
                <w:sz w:val="17"/>
                <w:szCs w:val="17"/>
                <w:color w:val="auto"/>
              </w:rPr>
            </w:pPr>
          </w:p>
        </w:tc>
        <w:tc>
          <w:tcPr>
            <w:tcW w:w="12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7,425</w:t>
            </w:r>
          </w:p>
        </w:tc>
        <w:tc>
          <w:tcPr>
            <w:tcW w:w="7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7"/>
                <w:szCs w:val="17"/>
                <w:color w:val="auto"/>
              </w:rPr>
            </w:pPr>
          </w:p>
        </w:tc>
        <w:tc>
          <w:tcPr>
            <w:tcW w:w="1420" w:type="dxa"/>
            <w:vAlign w:val="bottom"/>
            <w:gridSpan w:val="3"/>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298,648</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Technology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241,574</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271,920</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513,494</w:t>
            </w:r>
          </w:p>
        </w:tc>
        <w:tc>
          <w:tcPr>
            <w:tcW w:w="0" w:type="dxa"/>
            <w:vAlign w:val="bottom"/>
          </w:tcPr>
          <w:p>
            <w:pPr>
              <w:spacing w:after="0"/>
              <w:rPr>
                <w:sz w:val="1"/>
                <w:szCs w:val="1"/>
                <w:color w:val="auto"/>
              </w:rPr>
            </w:pPr>
          </w:p>
        </w:tc>
      </w:tr>
      <w:tr>
        <w:trPr>
          <w:trHeight w:val="23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Ashley Levesque (5)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81,900</w:t>
            </w: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Vice President of</w:t>
            </w:r>
          </w:p>
        </w:tc>
        <w:tc>
          <w:tcPr>
            <w:tcW w:w="9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180,000</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617,768</w:t>
            </w:r>
          </w:p>
        </w:tc>
        <w:tc>
          <w:tcPr>
            <w:tcW w:w="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ind w:left="8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7,200</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804,968</w:t>
            </w:r>
          </w:p>
        </w:tc>
        <w:tc>
          <w:tcPr>
            <w:tcW w:w="0" w:type="dxa"/>
            <w:vAlign w:val="bottom"/>
          </w:tcPr>
          <w:p>
            <w:pPr>
              <w:spacing w:after="0"/>
              <w:rPr>
                <w:sz w:val="1"/>
                <w:szCs w:val="1"/>
                <w:color w:val="auto"/>
              </w:rPr>
            </w:pPr>
          </w:p>
        </w:tc>
      </w:tr>
      <w:tr>
        <w:trPr>
          <w:trHeight w:val="23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Marketing</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-2205355</wp:posOffset>
            </wp:positionV>
            <wp:extent cx="76835"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-2205355</wp:posOffset>
            </wp:positionV>
            <wp:extent cx="188595"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595" cy="1143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-2205355</wp:posOffset>
            </wp:positionV>
            <wp:extent cx="419735"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9735" cy="1143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-2205355</wp:posOffset>
            </wp:positionV>
            <wp:extent cx="6858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-2205355</wp:posOffset>
            </wp:positionV>
            <wp:extent cx="257175"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7175" cy="11430"/>
                    </a:xfrm>
                    <a:prstGeom prst="rect">
                      <a:avLst/>
                    </a:prstGeom>
                    <a:noFill/>
                  </pic:spPr>
                </pic:pic>
              </a:graphicData>
            </a:graphic>
          </wp:anchor>
        </w:drawing>
      </w:r>
    </w:p>
    <w:p>
      <w:pPr>
        <w:spacing w:after="0" w:line="394" w:lineRule="exact"/>
        <w:rPr>
          <w:sz w:val="20"/>
          <w:szCs w:val="20"/>
          <w:color w:val="auto"/>
        </w:rPr>
      </w:pPr>
    </w:p>
    <w:p>
      <w:pPr>
        <w:jc w:val="both"/>
        <w:ind w:left="580" w:right="20" w:hanging="559"/>
        <w:spacing w:after="0" w:line="253" w:lineRule="auto"/>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(i) aggregate grant date fair value of the stock options granted to our named executive officers during the fiscal year ended December 31, 2023 under the 2016 Plan Equity Incentive Plan (the “2016 Plan”) (Mr. Musburger, $1,104,209; Mr. Baumer $262,289; Ms. Levesque, $595,294; Mr. Yip, $84,569) and (ii) the incremental cost under Financial Accounting Standards Board Accounting Standards Codification Topic 718, Compensation-Stock Compensation (“ASC Topic 718”) associated with a reduction in the exercise price of certain outstanding options that occurred in December 2023 (Mr. Musburger, $28,896; Mr. Baumer, $9,631; Ms. Levesque, $22,474), each computed in accordance ASC Topic 718. The assumptions used in calculating the grant date fair value of the stock options are set forth in Note 19 to our audited consolidated financial statements included in the registration statement of which this prospectus forms a part. This amount does not reflect the actual economic value that may be realized by the named executive officer.</w:t>
      </w:r>
    </w:p>
    <w:p>
      <w:pPr>
        <w:jc w:val="both"/>
        <w:ind w:left="580" w:right="20" w:hanging="559"/>
        <w:spacing w:after="0" w:line="250" w:lineRule="auto"/>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the stock options granted to our named executive officers during the fiscal year ended December 31, 2024 under the 2016 (Mr. Davy, $29,700; Mr. Yip, $10,455; and Mr. Baumer, $7,425) Plan computed in accordance with ASC Topic 718. The assumptions used in calculating the grant date fair value of the stock options are set forth in Note 19to our audited consolidated financial statements included elsewhere in this Report. This amount does not reflect the actual economic value that may be realized by the named executive officer.</w:t>
      </w:r>
    </w:p>
    <w:p>
      <w:pPr>
        <w:spacing w:after="0" w:line="1"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 contributions to the Company’s 401(k) plan.</w:t>
      </w:r>
    </w:p>
    <w:p>
      <w:pPr>
        <w:spacing w:after="0" w:line="9"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(3a)</w:t>
        <w:tab/>
        <w:t>Consists of a retention bonus paid in 2024.</w:t>
      </w:r>
    </w:p>
    <w:p>
      <w:pPr>
        <w:spacing w:after="0" w:line="9" w:lineRule="exact"/>
        <w:rPr>
          <w:sz w:val="20"/>
          <w:szCs w:val="20"/>
          <w:color w:val="auto"/>
        </w:rPr>
      </w:pPr>
    </w:p>
    <w:p>
      <w:pPr>
        <w:ind w:left="580" w:hanging="559"/>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2024, Mark Musburger resigned from his position as Chief Financial Officer.</w:t>
      </w:r>
    </w:p>
    <w:p>
      <w:pPr>
        <w:spacing w:after="0" w:line="9"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2024, Ashley Levesque resigned from her position as Vice President of Marketing.</w:t>
      </w:r>
    </w:p>
    <w:p>
      <w:pPr>
        <w:spacing w:after="0" w:line="9"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2024, Alvin Yip was appointed as the Company's interim Chief Financial Officer.</w:t>
      </w:r>
    </w:p>
    <w:p>
      <w:pPr>
        <w:spacing w:after="0" w:line="9"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represents compensations fair value issued in forms of RSU on grant date (Mr. Davy, $500,000; Mr. Yip, $50,000).</w:t>
      </w:r>
    </w:p>
    <w:p>
      <w:pPr>
        <w:spacing w:after="0" w:line="9"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Board approved increasing Mr. Yip's salary to $241,500 per year, effective as of January 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which are designed to provide appropriate incentives to our employees to achieve defined performance goals. None of our named executive officers received or will receive annual performance-based cash bonuses with respect to the fiscal years ended December 31, 2024 or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4" w:name="page85"/>
    <w:bookmarkEnd w:id="84"/>
    <w:p>
      <w:pPr>
        <w:ind w:left="380"/>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stockholders and to further focus our executive officers on our long-term performance, Legacy Banzai historically granted equity compensation in the form of stock options. Stock options allow the holder to exercise the stock option and receive shares upon exercise, with the exercise price determined based on the fair market value of a share of common stock at the time of grant.</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stock options granted to our named executive officers vested or will vest in a 25% increment on the one-year anniversary of the vesting commencement date and thereafter 1/48th of the total shares underlying the option award vests in 36 equal monthly installments, subject to the named executive officer’s continued service at each vesting date.</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2023, Ms. Levesque received option grants with respect to 115,000 shares with an original exercise price of $7.36 per share. On December 6, 2023, the Board approved a repricing of the 2023 option awards granted to Ms. Levesque, reducing the exercise price to $5.15 per share, which, upon the closing of the Business Combination, then increased to $8.38 and at the same time the original option grants reduced to 70,685 shares. The exercise price further increased to $419.00 and at the same time the original grants reduced to 1,414 shares upon completion of the reversed stock split</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2023, Mr. Baumer received option grants with respect to 50,000 shares with an original exercise price of $7.36 per share. On December 6, 2023, the Board approved a repricing of the 2023 option awards granted to Mr. Baumer, reducing the exercise price to $5.15 per share, which, upon the closing of the Business Combination, then increased to $8.38 and at the same time the original option grants reduced to 30,732 shares. The exercise price further increased to $419.00 and at the same time the original grants reduced to 615 shares upon completion of the reversed stock split</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2023, Mr. Musburger received option grants with respect to 150,000 shares with an original exercise price of $7.36 per share. On December 6, 2023, the Board approved a repricing of the 2023 option awards granted to Mr. Musburger, reducing the exercise price to $5.15 per share, which, upon the closing of the Business Combination, then increased to $8.38 and at the same time the original option grants reduced to 92,196 shares. The exercise price further increased to $419.00 and at the same time the original grants reduced to 1,844 shares upon completion of the reversed stock split.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December 2024, Mr. Joseph Davy received 304,878 shares of RSU grants as for the compensation Bonus of $500,000.00</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December 2024, Mr. Alvin Yip received 32,895 shares of RSU grants as for the compensation Bonus of $50,000.00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Compensation Update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2024, the Board approved increasing salaries of the following individuals, to take effect January 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4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Current Base Salary</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New Base Salary</w:t>
            </w:r>
          </w:p>
        </w:tc>
      </w:tr>
      <w:tr>
        <w:trPr>
          <w:trHeight w:val="21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Sergei Dolukhanov</w:t>
            </w:r>
          </w:p>
        </w:tc>
        <w:tc>
          <w:tcPr>
            <w:tcW w:w="12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of Sales &amp; Customer Success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Meyrowitz</w:t>
            </w: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of Demand Generation</w:t>
            </w:r>
          </w:p>
        </w:tc>
        <w:tc>
          <w:tcPr>
            <w:tcW w:w="7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w:t>
            </w:r>
          </w:p>
        </w:tc>
      </w:tr>
      <w:tr>
        <w:trPr>
          <w:trHeight w:val="648"/>
        </w:trPr>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763"/>
        </w:trPr>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as of December 31, 2024</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outstanding equity incentive plan awards held by each named executive officer as of December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3"/>
                <w:szCs w:val="13"/>
                <w:color w:val="auto"/>
              </w:rPr>
            </w:pPr>
          </w:p>
        </w:tc>
        <w:tc>
          <w:tcPr>
            <w:tcW w:w="112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Have Not Been</w:t>
            </w:r>
          </w:p>
        </w:tc>
        <w:tc>
          <w:tcPr>
            <w:tcW w:w="0" w:type="dxa"/>
            <w:vAlign w:val="bottom"/>
          </w:tcPr>
          <w:p>
            <w:pPr>
              <w:spacing w:after="0"/>
              <w:rPr>
                <w:sz w:val="1"/>
                <w:szCs w:val="1"/>
                <w:color w:val="auto"/>
              </w:rPr>
            </w:pPr>
          </w:p>
        </w:tc>
      </w:tr>
      <w:tr>
        <w:trPr>
          <w:trHeight w:val="148"/>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10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Been Issued</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162"/>
        </w:trPr>
        <w:tc>
          <w:tcPr>
            <w:tcW w:w="1120" w:type="dxa"/>
            <w:vAlign w:val="bottom"/>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19"/>
        </w:trPr>
        <w:tc>
          <w:tcPr>
            <w:tcW w:w="112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Joseph P. Davy</w:t>
            </w:r>
          </w:p>
        </w:tc>
        <w:tc>
          <w:tcPr>
            <w:tcW w:w="10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2,000</w:t>
            </w:r>
          </w:p>
        </w:tc>
        <w:tc>
          <w:tcPr>
            <w:tcW w:w="1220" w:type="dxa"/>
            <w:vAlign w:val="bottom"/>
            <w:gridSpan w:val="3"/>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50.00</w:t>
            </w:r>
          </w:p>
        </w:tc>
        <w:tc>
          <w:tcPr>
            <w:tcW w:w="1040" w:type="dxa"/>
            <w:vAlign w:val="bottom"/>
            <w:shd w:val="clear" w:color="auto" w:fill="CCEEFF"/>
          </w:tcPr>
          <w:p>
            <w:pPr>
              <w:jc w:val="center"/>
              <w:ind w:right="108"/>
              <w:spacing w:after="0" w:line="119" w:lineRule="exact"/>
              <w:rPr>
                <w:sz w:val="20"/>
                <w:szCs w:val="20"/>
                <w:color w:val="auto"/>
              </w:rPr>
            </w:pPr>
            <w:r>
              <w:rPr>
                <w:rFonts w:ascii="Times New Roman" w:cs="Times New Roman" w:eastAsia="Times New Roman" w:hAnsi="Times New Roman"/>
                <w:sz w:val="13"/>
                <w:szCs w:val="13"/>
                <w:color w:val="auto"/>
              </w:rPr>
              <w:t>5/14/2034</w:t>
            </w:r>
          </w:p>
        </w:tc>
        <w:tc>
          <w:tcPr>
            <w:tcW w:w="10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304,878</w:t>
            </w:r>
          </w:p>
        </w:tc>
        <w:tc>
          <w:tcPr>
            <w:tcW w:w="130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500,000</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2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40" w:type="dxa"/>
            <w:vAlign w:val="bottom"/>
            <w:shd w:val="clear" w:color="auto" w:fill="CCEE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5/14/2034</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250.00</w:t>
            </w:r>
          </w:p>
        </w:tc>
        <w:tc>
          <w:tcPr>
            <w:tcW w:w="10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5/14/2034</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Simon Baumer</w:t>
            </w: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500</w:t>
            </w:r>
          </w:p>
        </w:tc>
        <w:tc>
          <w:tcPr>
            <w:tcW w:w="1220" w:type="dxa"/>
            <w:vAlign w:val="bottom"/>
            <w:gridSpan w:val="3"/>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040" w:type="dxa"/>
            <w:vAlign w:val="bottom"/>
          </w:tcPr>
          <w:p>
            <w:pPr>
              <w:jc w:val="center"/>
              <w:ind w:right="108"/>
              <w:spacing w:after="0" w:line="126" w:lineRule="exact"/>
              <w:rPr>
                <w:sz w:val="20"/>
                <w:szCs w:val="20"/>
                <w:color w:val="auto"/>
              </w:rPr>
            </w:pPr>
            <w:r>
              <w:rPr>
                <w:rFonts w:ascii="Times New Roman" w:cs="Times New Roman" w:eastAsia="Times New Roman" w:hAnsi="Times New Roman"/>
                <w:sz w:val="14"/>
                <w:szCs w:val="14"/>
                <w:color w:val="auto"/>
              </w:rPr>
              <w:t>5/14/2034</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2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5/14/2034</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12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0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5/14/2034</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12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419.00</w:t>
            </w:r>
          </w:p>
        </w:tc>
        <w:tc>
          <w:tcPr>
            <w:tcW w:w="10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3/1/2033</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2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138.50</w:t>
            </w:r>
          </w:p>
        </w:tc>
        <w:tc>
          <w:tcPr>
            <w:tcW w:w="10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2/15/2032</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141.00</w:t>
            </w:r>
          </w:p>
        </w:tc>
        <w:tc>
          <w:tcPr>
            <w:tcW w:w="10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7/14/2031</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4"/>
                <w:szCs w:val="14"/>
                <w:color w:val="auto"/>
              </w:rPr>
              <w:t>Alvin Yip</w:t>
            </w:r>
          </w:p>
        </w:tc>
        <w:tc>
          <w:tcPr>
            <w:tcW w:w="10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220" w:type="dxa"/>
            <w:vAlign w:val="bottom"/>
            <w:gridSpan w:val="3"/>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C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419.00</w:t>
            </w:r>
          </w:p>
        </w:tc>
        <w:tc>
          <w:tcPr>
            <w:tcW w:w="1040" w:type="dxa"/>
            <w:vAlign w:val="bottom"/>
            <w:shd w:val="clear" w:color="auto" w:fill="CCECFF"/>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12/2/2033</w:t>
            </w:r>
          </w:p>
        </w:tc>
        <w:tc>
          <w:tcPr>
            <w:tcW w:w="10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27</w:t>
            </w:r>
          </w:p>
        </w:tc>
        <w:tc>
          <w:tcPr>
            <w:tcW w:w="114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159</w:t>
            </w:r>
          </w:p>
        </w:tc>
        <w:tc>
          <w:tcPr>
            <w:tcW w:w="1220" w:type="dxa"/>
            <w:vAlign w:val="bottom"/>
            <w:gridSpan w:val="3"/>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14.65</w:t>
            </w:r>
          </w:p>
        </w:tc>
        <w:tc>
          <w:tcPr>
            <w:tcW w:w="1040" w:type="dxa"/>
            <w:vAlign w:val="bottom"/>
            <w:shd w:val="clear" w:color="auto" w:fill="CCEEFF"/>
          </w:tcPr>
          <w:p>
            <w:pPr>
              <w:jc w:val="center"/>
              <w:ind w:right="108"/>
              <w:spacing w:after="0" w:line="126" w:lineRule="exact"/>
              <w:rPr>
                <w:sz w:val="20"/>
                <w:szCs w:val="20"/>
                <w:color w:val="auto"/>
              </w:rPr>
            </w:pPr>
            <w:r>
              <w:rPr>
                <w:rFonts w:ascii="Times New Roman" w:cs="Times New Roman" w:eastAsia="Times New Roman" w:hAnsi="Times New Roman"/>
                <w:sz w:val="14"/>
                <w:szCs w:val="14"/>
                <w:color w:val="auto"/>
              </w:rPr>
              <w:t>5/14/2034</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5/14/2034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-1142365</wp:posOffset>
            </wp:positionV>
            <wp:extent cx="6858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-1142365</wp:posOffset>
            </wp:positionV>
            <wp:extent cx="565785"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 cy="1143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-1142365</wp:posOffset>
            </wp:positionV>
            <wp:extent cx="6858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-1142365</wp:posOffset>
            </wp:positionV>
            <wp:extent cx="6858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-1142365</wp:posOffset>
            </wp:positionV>
            <wp:extent cx="6858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10" w:lineRule="exact"/>
        <w:rPr>
          <w:sz w:val="20"/>
          <w:szCs w:val="20"/>
          <w:color w:val="auto"/>
        </w:rPr>
      </w:pPr>
    </w:p>
    <w:p>
      <w:pPr>
        <w:ind w:left="580" w:hanging="559"/>
        <w:spacing w:after="0"/>
        <w:tabs>
          <w:tab w:leader="none" w:pos="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equity awards was granted under the 2016 Plan.</w:t>
      </w:r>
    </w:p>
    <w:p>
      <w:pPr>
        <w:spacing w:after="0" w:line="27" w:lineRule="exact"/>
        <w:rPr>
          <w:rFonts w:ascii="Times New Roman" w:cs="Times New Roman" w:eastAsia="Times New Roman" w:hAnsi="Times New Roman"/>
          <w:sz w:val="18"/>
          <w:szCs w:val="18"/>
          <w:color w:val="auto"/>
        </w:rPr>
      </w:pPr>
    </w:p>
    <w:p>
      <w:pPr>
        <w:jc w:val="both"/>
        <w:ind w:left="580" w:right="20" w:hanging="559"/>
        <w:spacing w:after="0" w:line="255" w:lineRule="auto"/>
        <w:tabs>
          <w:tab w:leader="none" w:pos="5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shares underlying the option award vest on the one-year anniversary of the vesting commencement date, thereafter 1/48th of the total shares underlying the option award vest in 36 equal monthly installments, subject to the named executive officer’s continued service at each vesting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Narrative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Board reviews director compensation periodically to ensure that director compensation remains competitive such that the Company is able to recruit and retain qualified directors. In December 2024, the 4 non-employee directors received compensation of $371,507.00 in the form of RSUs equivalent to 30,049 shares of Banzai’s Class A Common Stock. While none of the non-employee directors received compensation during the fiscal year ended December 31, 2023 for services rendered to the Company,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spacing w:after="0" w:line="189" w:lineRule="exact"/>
        <w:rPr>
          <w:sz w:val="20"/>
          <w:szCs w:val="20"/>
          <w:color w:val="auto"/>
        </w:rPr>
      </w:pPr>
    </w:p>
    <w:p>
      <w:pPr>
        <w:ind w:left="5540" w:right="3640" w:hanging="5092"/>
        <w:spacing w:after="0" w:line="532" w:lineRule="auto"/>
        <w:tabs>
          <w:tab w:leader="none" w:pos="9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retainer of $100,000, to be paid as determined by the compensation committee;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6" w:name="page87"/>
    <w:bookmarkEnd w:id="86"/>
    <w:p>
      <w:pPr>
        <w:ind w:left="960" w:hanging="512"/>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Retainers: Audit Committee, $10,000; Compensation Committee, $5,000; and Nominating and Corporate Governance Committee, $5,000.</w:t>
      </w:r>
    </w:p>
    <w:p>
      <w:pPr>
        <w:spacing w:after="0" w:line="53"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Member Retainers: Audit Committee, $5,000; Compensation Committee, $2,500; and Nominating and Corporate Governance Committee, $2,500.</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non-employee directors are also reimbursed for their reasonable out-of-pocket travel expenses to cover in-person attendance at and participation in Board and committee meetings.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Disclosure of Policies and Practices Related to the Grant of Certain Equity Awards Close in Time to the Release of Material Nonpublic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Registrant's Action to Recover Erroneously Awarded Compensation</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response to Item 402(w) of Regulation S-K, there was no time during or after the last completed fiscal year that the Company was required to either prepare an accounting restatement that required recovery of erroneously awarded compensation pursuant to the Company’s compensation recovery policy, or had an outstanding balance as of the end of the last completed fiscal year of erroneously awarded compensation to be recovered from the application of the policy to a prior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Sales Plans</w:t>
      </w:r>
    </w:p>
    <w:p>
      <w:pPr>
        <w:spacing w:after="0" w:line="22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Policies and Practices Related to the Grant of Certain Equity Awards</w:t>
      </w:r>
    </w:p>
    <w:p>
      <w:pPr>
        <w:spacing w:after="0" w:line="22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equity securities authorized for issuance as of December 31, 2024.</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100" w:type="dxa"/>
            <w:vAlign w:val="bottom"/>
          </w:tcPr>
          <w:p>
            <w:pPr>
              <w:spacing w:after="0"/>
              <w:rPr>
                <w:sz w:val="12"/>
                <w:szCs w:val="12"/>
                <w:color w:val="auto"/>
              </w:rPr>
            </w:pPr>
          </w:p>
        </w:tc>
        <w:tc>
          <w:tcPr>
            <w:tcW w:w="2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48"/>
        </w:trPr>
        <w:tc>
          <w:tcPr>
            <w:tcW w:w="402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 options, warrants</w:t>
            </w:r>
          </w:p>
        </w:tc>
        <w:tc>
          <w:tcPr>
            <w:tcW w:w="100" w:type="dxa"/>
            <w:vAlign w:val="bottom"/>
          </w:tcPr>
          <w:p>
            <w:pPr>
              <w:spacing w:after="0"/>
              <w:rPr>
                <w:sz w:val="12"/>
                <w:szCs w:val="12"/>
                <w:color w:val="auto"/>
              </w:rPr>
            </w:pPr>
          </w:p>
        </w:tc>
        <w:tc>
          <w:tcPr>
            <w:tcW w:w="2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1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87"/>
        </w:trPr>
        <w:tc>
          <w:tcPr>
            <w:tcW w:w="4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(a)</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reflected in column (a)) (c)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shareholders</w:t>
            </w: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658,263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9,255,910</w:t>
            </w:r>
          </w:p>
        </w:tc>
        <w:tc>
          <w:tcPr>
            <w:tcW w:w="0" w:type="dxa"/>
            <w:vAlign w:val="bottom"/>
          </w:tcPr>
          <w:p>
            <w:pPr>
              <w:spacing w:after="0"/>
              <w:rPr>
                <w:sz w:val="1"/>
                <w:szCs w:val="1"/>
                <w:color w:val="auto"/>
              </w:rPr>
            </w:pPr>
          </w:p>
        </w:tc>
      </w:tr>
      <w:tr>
        <w:trPr>
          <w:trHeight w:val="188"/>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shareholders</w:t>
            </w:r>
          </w:p>
        </w:tc>
        <w:tc>
          <w:tcPr>
            <w:tcW w:w="100" w:type="dxa"/>
            <w:vAlign w:val="bottom"/>
          </w:tcPr>
          <w:p>
            <w:pPr>
              <w:spacing w:after="0"/>
              <w:rPr>
                <w:sz w:val="16"/>
                <w:szCs w:val="16"/>
                <w:color w:val="auto"/>
              </w:rPr>
            </w:pPr>
          </w:p>
        </w:tc>
        <w:tc>
          <w:tcPr>
            <w:tcW w:w="2680" w:type="dxa"/>
            <w:vAlign w:val="bottom"/>
          </w:tcPr>
          <w:p>
            <w:pPr>
              <w:jc w:val="right"/>
              <w:ind w:right="8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60" w:type="dxa"/>
            <w:vAlign w:val="bottom"/>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4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658,263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9,255,910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-521970</wp:posOffset>
            </wp:positionV>
            <wp:extent cx="6858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-521970</wp:posOffset>
            </wp:positionV>
            <wp:extent cx="6858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-521970</wp:posOffset>
            </wp:positionV>
            <wp:extent cx="6858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ind w:left="580" w:right="20" w:hanging="559"/>
        <w:spacing w:after="0" w:line="281" w:lineRule="auto"/>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9,244,352 shares available pursuant to our 2023 Equity Incentive Plan and 11,558 shares available pursuant to our Employee Stock Purchase Plan. The total number of securities remaining available for future issuance indicated above reflects the expansion of shares available under the 2023 EIP Plan, to 10,000,000 shares, which Banzai’s shareholders approved on February 28,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Class A Common Stock and Class B Common Stock as of the date hereof for:</w:t>
      </w:r>
    </w:p>
    <w:p>
      <w:pPr>
        <w:spacing w:after="0" w:line="121" w:lineRule="exact"/>
        <w:rPr>
          <w:sz w:val="20"/>
          <w:szCs w:val="20"/>
          <w:color w:val="auto"/>
        </w:rPr>
      </w:pPr>
    </w:p>
    <w:p>
      <w:pPr>
        <w:ind w:left="960" w:hanging="51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outstanding shares of Common Stock;</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named executive officers as a group.</w:t>
      </w:r>
    </w:p>
    <w:p>
      <w:pPr>
        <w:spacing w:after="0" w:line="22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is based on 12,846,807 shares of Class A Common Stock and 2,311,134 shares of Class B Common Stock outstanding as of April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4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w:t>
            </w:r>
          </w:p>
        </w:tc>
        <w:tc>
          <w:tcPr>
            <w:tcW w:w="252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Class A Common Share</w:t>
            </w:r>
          </w:p>
        </w:tc>
        <w:tc>
          <w:tcPr>
            <w:tcW w:w="100" w:type="dxa"/>
            <w:vAlign w:val="bottom"/>
          </w:tcPr>
          <w:p>
            <w:pPr>
              <w:spacing w:after="0"/>
              <w:rPr>
                <w:sz w:val="18"/>
                <w:szCs w:val="18"/>
                <w:color w:val="auto"/>
              </w:rPr>
            </w:pPr>
          </w:p>
        </w:tc>
        <w:tc>
          <w:tcPr>
            <w:tcW w:w="242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Share</w:t>
            </w:r>
          </w:p>
        </w:tc>
        <w:tc>
          <w:tcPr>
            <w:tcW w:w="12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Voting</w:t>
            </w:r>
          </w:p>
        </w:tc>
        <w:tc>
          <w:tcPr>
            <w:tcW w:w="0" w:type="dxa"/>
            <w:vAlign w:val="bottom"/>
          </w:tcPr>
          <w:p>
            <w:pPr>
              <w:spacing w:after="0"/>
              <w:rPr>
                <w:sz w:val="1"/>
                <w:szCs w:val="1"/>
                <w:color w:val="auto"/>
              </w:rPr>
            </w:pPr>
          </w:p>
        </w:tc>
      </w:tr>
      <w:tr>
        <w:trPr>
          <w:trHeight w:val="130"/>
        </w:trPr>
        <w:tc>
          <w:tcPr>
            <w:tcW w:w="4760" w:type="dxa"/>
            <w:vAlign w:val="bottom"/>
            <w:gridSpan w:val="4"/>
            <w:vMerge w:val="continue"/>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Power %</w:t>
            </w:r>
          </w:p>
        </w:tc>
        <w:tc>
          <w:tcPr>
            <w:tcW w:w="0" w:type="dxa"/>
            <w:vAlign w:val="bottom"/>
          </w:tcPr>
          <w:p>
            <w:pPr>
              <w:spacing w:after="0"/>
              <w:rPr>
                <w:sz w:val="1"/>
                <w:szCs w:val="1"/>
                <w:color w:val="auto"/>
              </w:rPr>
            </w:pPr>
          </w:p>
        </w:tc>
      </w:tr>
      <w:tr>
        <w:trPr>
          <w:trHeight w:val="94"/>
        </w:trPr>
        <w:tc>
          <w:tcPr>
            <w:tcW w:w="4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760" w:type="dxa"/>
            <w:vAlign w:val="bottom"/>
            <w:gridSpan w:val="4"/>
            <w:vMerge w:val="continue"/>
          </w:tcPr>
          <w:p>
            <w:pPr>
              <w:spacing w:after="0"/>
              <w:rPr>
                <w:sz w:val="14"/>
                <w:szCs w:val="14"/>
                <w:color w:val="auto"/>
              </w:rPr>
            </w:pPr>
          </w:p>
        </w:tc>
        <w:tc>
          <w:tcPr>
            <w:tcW w:w="114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2"/>
          </w:tcPr>
          <w:p>
            <w:pPr>
              <w:jc w:val="right"/>
              <w:ind w:right="57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22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00" w:type="dxa"/>
            <w:vAlign w:val="bottom"/>
            <w:gridSpan w:val="2"/>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Jack Leeney</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Joseph Davy</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307,966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2,311,134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65.13% (1)</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Simon Baumer</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2,248 (2)</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Mason Ward (4)</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Paula Boggs</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3,366</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Alvin Yip</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33,193 (3)</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 Schofield</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22,849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476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 Directors and Executive Officers of the Company as a</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372,622</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c>
          <w:tcPr>
            <w:tcW w:w="1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2,311,134</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65.31 %</w:t>
            </w:r>
          </w:p>
        </w:tc>
        <w:tc>
          <w:tcPr>
            <w:tcW w:w="0" w:type="dxa"/>
            <w:vAlign w:val="bottom"/>
          </w:tcPr>
          <w:p>
            <w:pPr>
              <w:spacing w:after="0"/>
              <w:rPr>
                <w:sz w:val="1"/>
                <w:szCs w:val="1"/>
                <w:color w:val="auto"/>
              </w:rPr>
            </w:pPr>
          </w:p>
        </w:tc>
      </w:tr>
      <w:tr>
        <w:trPr>
          <w:trHeight w:val="117"/>
        </w:trPr>
        <w:tc>
          <w:tcPr>
            <w:tcW w:w="4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Group (7 Individuals)</w:t>
            </w:r>
          </w:p>
        </w:tc>
        <w:tc>
          <w:tcPr>
            <w:tcW w:w="1140" w:type="dxa"/>
            <w:vAlign w:val="bottom"/>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60" w:type="dxa"/>
            <w:vAlign w:val="bottom"/>
            <w:gridSpan w:val="4"/>
            <w:vMerge w:val="continue"/>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w w:val="99"/>
              </w:rPr>
              <w:t>Five Percent or Greater Holders:</w:t>
            </w:r>
          </w:p>
        </w:tc>
        <w:tc>
          <w:tcPr>
            <w:tcW w:w="2280" w:type="dxa"/>
            <w:vAlign w:val="bottom"/>
            <w:tcBorders>
              <w:bottom w:val="single" w:sz="8" w:color="CCEEFF"/>
            </w:tcBorders>
            <w:gridSpan w:val="2"/>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Alco Investment Company (4)</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330,346</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-568325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-568325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-568325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-568325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480" w:hanging="459"/>
        <w:spacing w:after="0"/>
        <w:tabs>
          <w:tab w:leader="none" w:pos="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80" w:right="20" w:hanging="459"/>
        <w:spacing w:after="0" w:line="250" w:lineRule="auto"/>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persons is c/o Banzai International, Inc., 435 Ericksen Ave NE, Suite 250, Bainbridge Island, WA 98110.</w:t>
      </w:r>
    </w:p>
    <w:p>
      <w:pPr>
        <w:spacing w:after="0" w:line="1" w:lineRule="exact"/>
        <w:rPr>
          <w:sz w:val="20"/>
          <w:szCs w:val="20"/>
          <w:color w:val="auto"/>
        </w:rPr>
      </w:pPr>
    </w:p>
    <w:p>
      <w:pPr>
        <w:ind w:left="480" w:right="300" w:hanging="459"/>
        <w:spacing w:after="0" w:line="260"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entitles its holders to one vote per share; each share of Class B Common Stock entitles its holder to ten votes on all matters presented to our stockholders generally. As a result, percentage of voting power is based on 35,958,147 total votes.</w:t>
      </w:r>
    </w:p>
    <w:p>
      <w:pPr>
        <w:spacing w:after="0" w:line="181" w:lineRule="exact"/>
        <w:rPr>
          <w:sz w:val="20"/>
          <w:szCs w:val="20"/>
          <w:color w:val="auto"/>
        </w:rPr>
      </w:pPr>
    </w:p>
    <w:p>
      <w:pPr>
        <w:ind w:left="480" w:right="220" w:hanging="459"/>
        <w:spacing w:after="0" w:line="257" w:lineRule="auto"/>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entitles its holder to ten votes on all matters presented to our stockholders generally, which has the effect of concentrating the majority of the aggregate voting power of our Common Stock with Mr. Davy (approximately 65.13% of the aggregate voting power as of April 10, 2025).</w:t>
      </w:r>
    </w:p>
    <w:p>
      <w:pPr>
        <w:spacing w:after="0" w:line="1" w:lineRule="exact"/>
        <w:rPr>
          <w:rFonts w:ascii="Times New Roman" w:cs="Times New Roman" w:eastAsia="Times New Roman" w:hAnsi="Times New Roman"/>
          <w:sz w:val="18"/>
          <w:szCs w:val="18"/>
          <w:color w:val="auto"/>
        </w:rPr>
      </w:pPr>
    </w:p>
    <w:p>
      <w:pPr>
        <w:ind w:left="480" w:hanging="459"/>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2,248 shares of Common Stock underlying options that are exercisable within 60 days of April 10, 2025.</w:t>
      </w:r>
    </w:p>
    <w:p>
      <w:pPr>
        <w:spacing w:after="0" w:line="9" w:lineRule="exact"/>
        <w:rPr>
          <w:rFonts w:ascii="Times New Roman" w:cs="Times New Roman" w:eastAsia="Times New Roman" w:hAnsi="Times New Roman"/>
          <w:sz w:val="18"/>
          <w:szCs w:val="18"/>
          <w:color w:val="auto"/>
        </w:rPr>
      </w:pPr>
    </w:p>
    <w:p>
      <w:pPr>
        <w:ind w:left="480" w:right="220" w:hanging="459"/>
        <w:spacing w:after="0" w:line="250" w:lineRule="auto"/>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298 shares of Common Stock underlying options that are exercisable within 60 days of April 10, 2025, plus 32,895 shares of Common Stock held directly by Alvin Yip.</w:t>
      </w:r>
    </w:p>
    <w:p>
      <w:pPr>
        <w:ind w:left="480" w:right="140" w:hanging="459"/>
        <w:spacing w:after="0" w:line="252" w:lineRule="auto"/>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Ward is one of three members of the investment committee (the “Alco Investment Committee”) that exercises voting and dispositive control over the shares of Class A Common Stock beneficially owned by Alco Investment Company Because the consent of a majority of the members of the Alco Investment Committee is required in connection with any exercise of voting or dispositive rights with respect to the Class A Common Stock, neither Mr. Ward nor the other members of the Alco Investment Committee is the beneficial owner of any shares of Class A Common Stock beneficially owned by Alco Investment Company. This determination is based on the guidance from the staff of the Securities and Exchange Commission set forth in the Southland Corp. (July 8, 1987) SEC No-Action Letter. T</w:t>
      </w:r>
      <w:r>
        <w:rPr>
          <w:rFonts w:ascii="Times New Roman" w:cs="Times New Roman" w:eastAsia="Times New Roman" w:hAnsi="Times New Roman"/>
          <w:sz w:val="18"/>
          <w:szCs w:val="18"/>
          <w:color w:val="212529"/>
        </w:rPr>
        <w:t>he principal office address of Alco</w:t>
      </w:r>
      <w:r>
        <w:rPr>
          <w:rFonts w:ascii="Times New Roman" w:cs="Times New Roman" w:eastAsia="Times New Roman" w:hAnsi="Times New Roman"/>
          <w:sz w:val="18"/>
          <w:szCs w:val="18"/>
          <w:color w:val="auto"/>
        </w:rPr>
        <w:t xml:space="preserve"> is 33930 Weyerhaeuser Way S., Suite 150, Federal Way, Washington 98001.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Banzai International, Inc. Related Party Transactions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Amended &amp; Restated Registration Rights Agreement</w:t>
      </w:r>
    </w:p>
    <w:p>
      <w:pPr>
        <w:spacing w:after="0" w:line="22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on the Closing Date, the Company, the 7GC Sponsor and certain securityholders of 7GC and Legacy Banzai entered into the Amended and Restated Registration Rights Agreement (the “A&amp;R Registration Rights Agreement”), which amended and restated that certain Registration Rights Agreement, dated December 22, 2020. The A&amp;R Registration Rights Agreements provides these holders (and their permitted transactions) with the right to require the Company, at the Company’s expense, to register shares of Class A Common Stock that they hold on customary terms for such a Business Combination, including customary demand and piggyback registration rights. The A&amp;R Registration Rights Agreement also provides that the Company pay certain expenses of the electing holders relating to such registrations and indemnify them against certain liabilities that may arise under the Securities Act.</w:t>
      </w:r>
    </w:p>
    <w:p>
      <w:pPr>
        <w:spacing w:after="0" w:line="18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addition, subject to certain exceptions, the A&amp;R Registration Rights Agreement provides for certain restrictions on transfer with respect to the securities of the Company. Such restrictions began upon Closing and end at the earliest of (A) 180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18"/>
          <w:szCs w:val="18"/>
          <w:color w:val="auto"/>
        </w:rPr>
        <w:t>days after the Closing and (B) the first date on which (x) the closing price of Class A Common Stock equals or exceeds $12.00 per share for any 20 trading days within any 30-trading day period commencing at least 150 days after the Closing or (y) the Company completes a liquidation, merger, capital stock exchange, reorganization or other similar transaction that results in the Company’s stockholders having the right to exchange their shares of Class A Common Stock for cash, securities, or other property.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Transfer Agreements</w:t>
      </w:r>
    </w:p>
    <w:p>
      <w:pPr>
        <w:spacing w:after="0" w:line="227"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On December 13, 2023, in connection with the Business Combination, 7GC and the 7GC Sponsor entered into a share transfer agreement (the “December Share Transfer Agreement”) with Alco, pursuant to which for each $500.00 in principal borrowed under the New Alco Note, the 7GC Sponsor agreed to forfeit three shares of 7GC Class B Common Stock held by the 7GC Sponsor, in exchange for the right of Alco to receive three shares of Class A Common Stock, in each case, at (and contingent upon) the Closing, with such forfeited and issued shares capped at an amount equal to 12,000. On October 3, 2023 and November 16, 2023, 7GC, the 7GC Sponsor, and Alco also entered into share transfer agreements, pursuant to which the 7GC Sponsor agreed to forfeit an aggregate of 45,000 shares of 7GC Class B Common Stock held by the 7GC Sponsor, in exchange for the right of Alco to receive 45,000 shares of Class A Common Stock at (and contingent upon) the Closing (such share transfer agreements together with the December Share Transfer Agreement, the “Share Transfer Agreements”). Alco is subject to a 180-day lock-up period with respect to such shares of Class A Common Stock pursuant to the Share Transfer Agreements, subject to customary exceptions. Additionally, in connection with the December Share Transfer Agreement, (a) Legacy Banzai issued the New Alco Note to Alco in the aggregate principal amount of $2.0 million, which bears interest at a rate of 8% per annum and will be due and payable on December 31, 2024, and (b) Legacy Banzai, Alco, and the Lender agreed to amend that certain Subordinated Promissory Note issued by Legacy Banzai to Alco on September 13, 2023 in the aggregate principal amount of $1.5 million to extend the maturity date from January 10, 2024 to September 30, 2024. Immediately prior to, and substantially concurrently with, the Closing, (i) the 7GC Sponsor surrendered and forfeited to 7GC for no consideration an aggregate of 16,500 shares of the class B common stock of 7GC and (ii) the Company issued to Alco 16,500 shares of Class A Common Stock pursuant to the Share Transfer Agreements.</w:t>
      </w:r>
    </w:p>
    <w:p>
      <w:pPr>
        <w:spacing w:after="0" w:line="192"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b w:val="1"/>
          <w:bCs w:val="1"/>
          <w:i w:val="1"/>
          <w:iCs w:val="1"/>
          <w:color w:val="auto"/>
        </w:rPr>
        <w:t>7GC Related Party Transactions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the extension of 7GC’s deadline to consummate an initial business combination, on December 21, 2022, 7GC issued to the 7GC Sponsor an unsecured promissory note, dated as of December 21, 2022 (the “2022 Promissory Note”), which provided for borrowings from time to time of up to an aggregate of $2.3 million. On October 3, 2023, 7GC also issued to the 7GC Sponsor an unsecured promissory note, dated as of October 3, 2023 (the “2023 Promissory Note,” and together with the 2022 Promissory Note, the "7GC Promissory Notes"), which provided for borrowings from time to time of up to an aggregate of $500,000.</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Closing of the Business Combination, the 7GC Promissory Notes became payable, and the 7GC Sponsor gained the option, but not the obligation, to convert the principal balance of the 7GC Promissory Notes, in whole or in part, into shares of Class A Common Stock (the “Converted Shares”) equal to the principal amount of the 7GC Promissory Notes so converted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jc w:val="both"/>
        <w:spacing w:after="0" w:line="258" w:lineRule="auto"/>
        <w:rPr>
          <w:sz w:val="20"/>
          <w:szCs w:val="20"/>
          <w:color w:val="auto"/>
        </w:rPr>
      </w:pPr>
      <w:r>
        <w:rPr>
          <w:rFonts w:ascii="Times New Roman" w:cs="Times New Roman" w:eastAsia="Times New Roman" w:hAnsi="Times New Roman"/>
          <w:sz w:val="18"/>
          <w:szCs w:val="18"/>
          <w:color w:val="auto"/>
        </w:rPr>
        <w:t>divided by $500.00. On December 12, 2023, in connection with the Business Combination, the 7GC Sponsor and 7GC amended the optional conversion provision of the 7GC Promissory Notes to provide that the 7GC Sponsor has the right to elect to convert up to the full amount of the principal balance of the 7GC Promissory Notes, in whole or in part, 30 days after the Closing at a conversion price equal to the average daily VWAP of the Class A Common Stock for the 30 trading days following the Closing. Pursuant to these amended terms, each of the 7GC Promissory Notes was converted in full on February 2, 2024, resulting in the issuance to the 7GC Sponsor of an aggregate of 17,812 shares of our Class A Common Stock.</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accrued a total of approximately $40,000 related to office space, utilities, and secretarial and administrative support services, incurred by our predecessor, 7GC.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Banzai Related Party Transactions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Note Financing</w:t>
      </w:r>
    </w:p>
    <w:p>
      <w:pPr>
        <w:spacing w:after="0" w:line="22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Beginning in July 2022, Legacy Banzai issued convertible promissory notes (the “2022 Notes”) to certain accredited investors in an aggregate principal amount of approximately $6.0 million (of which $4.2 million was issued to related parties). The 2022 Notes accrued interest at a rate of 8% per annum. During the year ended December 31, 2023, Legacy Banzai issued additional convertible promissory notes to certain accredited investors in an aggregate principle amount of approximately $4.0 million (of which $2.6 million was issued to related parties) under the same terms of the 2022 Notes (together with the 2022 Notes, the “Legacy Banzai Notes”). The Legacy Banzai Notes, including principal and interest, converted into shares of our Class A Common Stock in connection with the Closing of the Business Combination.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the aggregate principal amount of Legacy Banzai Notes issued to Legacy Banzai’s related parties:</w:t>
      </w:r>
    </w:p>
    <w:p>
      <w:pPr>
        <w:spacing w:after="0" w:line="206"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48"/>
        </w:trPr>
        <w:tc>
          <w:tcPr>
            <w:tcW w:w="4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r>
      <w:tr>
        <w:trPr>
          <w:trHeight w:val="17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DNX Partners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ALCO (2)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5,100,538</w:t>
            </w: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Bryant (3)</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Mason Ward (4)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179" w:lineRule="exact"/>
        <w:rPr>
          <w:sz w:val="20"/>
          <w:szCs w:val="20"/>
          <w:color w:val="auto"/>
        </w:rPr>
      </w:pPr>
    </w:p>
    <w:p>
      <w:pPr>
        <w:ind w:left="580" w:right="40" w:hanging="559"/>
        <w:spacing w:after="0" w:line="253"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2022 Note issued to DNX III in the principal amount of $717,000 (ii) a 2022 Note issued to DNX Japan III in the principal amount of $258,000, (iii) a 2022 Note issued to DNX S-III in the principal amount of $25,000, (iv) a 2022 Note issued to DNX III in the principal amount of $358,500, (v) a 2022 Note issued to DNX Japan III in the principal amount of $129,000, (vi) a 2022 Note issued to DNX S-III in the principal amount of $12,500 ((i)-(iii) together, the “2022 DNX Notes”, (iv)-(vi) together, the “2023 DNX Notes” and, the 2022 DNX Notes and the 2023 DNX Notes, together, the “DNX Notes”). The 2022 DNX Notes were issued in on July 1,2022 and the 2023 DNX Notes were issued on May 11, 2023.</w:t>
      </w:r>
    </w:p>
    <w:p>
      <w:pPr>
        <w:spacing w:after="0" w:line="5" w:lineRule="exact"/>
        <w:rPr>
          <w:rFonts w:ascii="Times New Roman" w:cs="Times New Roman" w:eastAsia="Times New Roman" w:hAnsi="Times New Roman"/>
          <w:sz w:val="18"/>
          <w:szCs w:val="18"/>
          <w:color w:val="auto"/>
        </w:rPr>
      </w:pPr>
    </w:p>
    <w:p>
      <w:pPr>
        <w:ind w:left="580" w:right="320" w:hanging="559"/>
        <w:spacing w:after="0" w:line="250"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2022 Note issued to ALCO in the principal amount of $1,000,000 on July 1, 2022, (ii) a 2022 Note issued to ALCO in the principal amount of $2,100,538.22 on July 19, 2022, (iii) a 2023 Note issued to ALCO in the principal amount of $1,500,000 on March 8, 2023 and (iv) a 2023 Note issued to ALCO in the principal amount of $500,000 on May 10, 2023.</w:t>
      </w:r>
    </w:p>
    <w:p>
      <w:pPr>
        <w:spacing w:after="0" w:line="1"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2023 Note issued to William Bryant in the principal amount of $33,000 on June 6, 2023.</w:t>
      </w:r>
    </w:p>
    <w:p>
      <w:pPr>
        <w:spacing w:after="0" w:line="9" w:lineRule="exact"/>
        <w:rPr>
          <w:rFonts w:ascii="Times New Roman" w:cs="Times New Roman" w:eastAsia="Times New Roman" w:hAnsi="Times New Roman"/>
          <w:sz w:val="18"/>
          <w:szCs w:val="18"/>
          <w:color w:val="auto"/>
        </w:rPr>
      </w:pPr>
    </w:p>
    <w:p>
      <w:pPr>
        <w:ind w:left="580" w:right="60" w:hanging="559"/>
        <w:spacing w:after="0" w:line="255"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 2022 Note issued to Mason Ward in the principal amount of $50,000 on July 28, 2022, (ii) a 2022 Note issued to Mason Ward in the principal amount of $50,000 on September 2, 2022, and (iii) a 2023 Note issued to Mason Ward in the principal amount of $50,000 on June 14, 2023.</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Promissory Notes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August 30, 2023, the Company issued a subordinate promissory note (“Alco August Promissory Note”) in the aggregate principal amount of $150,000 to Alco. Alco held approximately 5% of the issued equity of the Company, through its ownership of Series A Preferred Stock, for all periods presented. The Alco August Promissory Note bears interest at a rate of 8% per annum. The outstanding principal and accrued interest are due and payable on April 29, 2024 as amended on December 4,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September 13, 2023, the Company issued a subordinate promissory note (“Alco September Promissory Note” and together with the Alco August Promissory Note, the “Alco Notes”) in the aggregate principal amount of up to $1,500,000 to Alco. The Alco September Promissory Note bears interest at a rate of 8% per annum. The outstanding principal and accrued interest are due and payable on September 30, 2024 as amended on December 14, 2023. The Alco Notes, including principal and interest, converted into shares of our Class A Common Stock in connection with the Closing of the Business Combination.</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November 16, 2023, the Company issued a subordinate promissory note ("Alco November Promissory Note") in the aggregate principal amount of up to $750,000 to Alco. The Alco November Promissory Note bears interest at a rate of 8% per annum. The outstanding principal and accrued interest are due and payable on April 13, 2024. As of December 31, 2023, $750,000 of principal and $7,397 of accrued interest is outstanding under the Alco November Promissory Note recorded in note payable - related party on the consolidated balance sheets.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As of December 31, 2023, $2,000,000 of principal and $7,890 of accrued interest is outstanding under the Alco December Promissory Note recorded in note payable - related party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or the disinterested, independent members of the Board, as the case may be, take into account the relevant available facts and circumstances, which may include, but are not limited to:</w:t>
      </w:r>
    </w:p>
    <w:p>
      <w:pPr>
        <w:spacing w:after="0" w:line="121" w:lineRule="exact"/>
        <w:rPr>
          <w:sz w:val="20"/>
          <w:szCs w:val="20"/>
          <w:color w:val="auto"/>
        </w:rPr>
      </w:pPr>
    </w:p>
    <w:p>
      <w:pPr>
        <w:ind w:left="960" w:hanging="51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transaction and the amount payable to a related party;</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interest of the related party in the transaction;</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may involve a conflict of interest;</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6"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p>
      <w:pPr>
        <w:spacing w:after="0" w:line="67"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party transaction or related party that would be material to investors in light of the circumstances of the transaction.</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Fees for professional services provided by our independent registered public accounting firm, Marcum LLP, for the last two fiscal years include: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73"/>
        </w:trPr>
        <w:tc>
          <w:tcPr>
            <w:tcW w:w="5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right"/>
              <w:ind w:right="1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right"/>
              <w:ind w:right="11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8"/>
                <w:szCs w:val="18"/>
                <w:color w:val="auto"/>
                <w:vertAlign w:val="sub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18"/>
                <w:szCs w:val="18"/>
                <w:color w:val="auto"/>
                <w:vertAlign w:val="subscript"/>
              </w:rPr>
              <w:t>(2)</w:t>
            </w:r>
          </w:p>
        </w:tc>
        <w:tc>
          <w:tcPr>
            <w:tcW w:w="24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-422275</wp:posOffset>
            </wp:positionV>
            <wp:extent cx="7747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pacing w:after="0" w:line="174" w:lineRule="exact"/>
        <w:rPr>
          <w:sz w:val="20"/>
          <w:szCs w:val="20"/>
          <w:color w:val="auto"/>
        </w:rPr>
      </w:pPr>
    </w:p>
    <w:p>
      <w:pPr>
        <w:ind w:firstLine="8"/>
        <w:spacing w:after="0" w:line="286" w:lineRule="auto"/>
        <w:tabs>
          <w:tab w:leader="none" w:pos="268"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Audit Fees. </w:t>
      </w:r>
      <w:r>
        <w:rPr>
          <w:rFonts w:ascii="Times New Roman" w:cs="Times New Roman" w:eastAsia="Times New Roman" w:hAnsi="Times New Roman"/>
          <w:sz w:val="18"/>
          <w:szCs w:val="18"/>
          <w:color w:val="auto"/>
        </w:rPr>
        <w:t>Audit fees consist of fees for professional services rendered for the audit of our year-end financial statements and services rendered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our statutory and regulatory filings.</w:t>
      </w:r>
    </w:p>
    <w:p>
      <w:pPr>
        <w:spacing w:after="0" w:line="154" w:lineRule="exact"/>
        <w:rPr>
          <w:rFonts w:ascii="Times New Roman" w:cs="Times New Roman" w:eastAsia="Times New Roman" w:hAnsi="Times New Roman"/>
          <w:sz w:val="18"/>
          <w:szCs w:val="18"/>
          <w:b w:val="1"/>
          <w:bCs w:val="1"/>
          <w:i w:val="1"/>
          <w:iCs w:val="1"/>
          <w:color w:val="auto"/>
        </w:rPr>
      </w:pPr>
    </w:p>
    <w:p>
      <w:pPr>
        <w:jc w:val="both"/>
        <w:ind w:firstLine="8"/>
        <w:spacing w:after="0" w:line="268" w:lineRule="auto"/>
        <w:tabs>
          <w:tab w:leader="none" w:pos="262"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Audit-Related Fees. </w:t>
      </w:r>
      <w:r>
        <w:rPr>
          <w:rFonts w:ascii="Times New Roman" w:cs="Times New Roman" w:eastAsia="Times New Roman" w:hAnsi="Times New Roman"/>
          <w:sz w:val="18"/>
          <w:szCs w:val="18"/>
          <w:color w:val="auto"/>
        </w:rPr>
        <w:t>Audit-related services consist of fees for assurance and related services that are reasonably related to performance of the audit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 of our financial statements and are not reported under “Audit Fees.” These services include attest services that are not required by statute or regulation and consultations concerning financial accounting and reporting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Except as permitted under federal law and SEC rules, all audit and non-audit services performed by our auditors must be pre-approved by the Audit Committee, including the fees and terms thereof (subject to the de minimis exceptions for non-audit services described in the Exchange Act which are approved by the audit committee prior to the completion of the audit). All services reflected in the foregoing table were pre-approved by the Audit Committee in 2024 and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688)</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and 2023</w:t>
      </w:r>
    </w:p>
    <w:p>
      <w:pPr>
        <w:spacing w:after="0" w:line="198" w:lineRule="exact"/>
        <w:rPr>
          <w:sz w:val="20"/>
          <w:szCs w:val="20"/>
          <w:color w:val="auto"/>
        </w:rPr>
      </w:pPr>
    </w:p>
    <w:p>
      <w:pPr>
        <w:ind w:left="900" w:right="3140"/>
        <w:spacing w:after="0" w:line="459" w:lineRule="auto"/>
        <w:rPr>
          <w:sz w:val="20"/>
          <w:szCs w:val="20"/>
          <w:color w:val="auto"/>
        </w:rPr>
      </w:pPr>
      <w:r>
        <w:rPr>
          <w:rFonts w:ascii="Times New Roman" w:cs="Times New Roman" w:eastAsia="Times New Roman" w:hAnsi="Times New Roman"/>
          <w:sz w:val="18"/>
          <w:szCs w:val="18"/>
          <w:color w:val="auto"/>
        </w:rPr>
        <w:t>Consolidated Statements of Stockholders’ Deficit for the Years ended December 31, 2024 and 2023 Consolidated Statements of Cash Flows for the Years ended December 31, 2024 and 2023 Notes to the Consolidated Financial Statements</w:t>
      </w:r>
    </w:p>
    <w:p>
      <w:pPr>
        <w:ind w:left="720" w:hanging="263"/>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w:t>
      </w:r>
    </w:p>
    <w:p>
      <w:pPr>
        <w:spacing w:after="0" w:line="184" w:lineRule="exact"/>
        <w:rPr>
          <w:rFonts w:ascii="Times New Roman" w:cs="Times New Roman" w:eastAsia="Times New Roman" w:hAnsi="Times New Roman"/>
          <w:sz w:val="18"/>
          <w:szCs w:val="18"/>
          <w:color w:val="auto"/>
        </w:rPr>
      </w:pPr>
    </w:p>
    <w:p>
      <w:pPr>
        <w:ind w:left="460" w:hanging="3"/>
        <w:spacing w:after="0" w:line="282" w:lineRule="auto"/>
        <w:tabs>
          <w:tab w:leader="none" w:pos="7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21"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is a list of exhibits filed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560" w:type="dxa"/>
            <w:vAlign w:val="bottom"/>
            <w:gridSpan w:val="37"/>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36"/>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Agreement and Plan of Merger, dated December 8, 2022, by and among Banzai, 7GC, First Merger Sub and Second Merger Sub</w:t>
              </w:r>
            </w:hyperlink>
          </w:p>
        </w:tc>
        <w:tc>
          <w:tcPr>
            <w:tcW w:w="540" w:type="dxa"/>
            <w:vAlign w:val="bottom"/>
            <w:gridSpan w:val="18"/>
          </w:tcPr>
          <w:p>
            <w:pPr>
              <w:spacing w:after="0"/>
              <w:rPr>
                <w:sz w:val="14"/>
                <w:szCs w:val="1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(incorporated by reference to Annex A-1 to the Registration Statement on Form S-4 filed on August 31, 2023).</w:t>
              </w:r>
            </w:hyperlink>
          </w:p>
        </w:tc>
        <w:tc>
          <w:tcPr>
            <w:tcW w:w="1840" w:type="dxa"/>
            <w:vAlign w:val="bottom"/>
            <w:gridSpan w:val="23"/>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Amendment to Agreement and Plan of Merger, dated August 4, 2023, by and among the Company and 7GC (incorporated by reference</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to Annex A-2 to the Registration Statement on Form S-4 filed on August 31, 2023).</w:t>
              </w:r>
            </w:hyperlink>
          </w:p>
        </w:tc>
        <w:tc>
          <w:tcPr>
            <w:tcW w:w="3780" w:type="dxa"/>
            <w:vAlign w:val="bottom"/>
            <w:gridSpan w:val="32"/>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Agreement and Plan of Merger, dated December 10, 2024, by and among Banzai International, Inc., Banzai Reel Acquisition, Inc.</w:t>
              </w:r>
            </w:hyperlink>
          </w:p>
        </w:tc>
        <w:tc>
          <w:tcPr>
            <w:tcW w:w="44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ClearDoc, Inc., and certain stockholders of ClearDoc, Inc. (incorporated by reference to Exhibit 2.1 to the Current Report on Form 8-K</w:t>
              </w:r>
            </w:hyperlink>
          </w:p>
        </w:tc>
        <w:tc>
          <w:tcPr>
            <w:tcW w:w="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2"/>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filed on December 19,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Acquisition Agreement, dated December 19, 2024, by and among Banzai International, Inc., Vidello Limited, and the Shareholders of</w:t>
              </w:r>
            </w:hyperlink>
          </w:p>
        </w:tc>
        <w:tc>
          <w:tcPr>
            <w:tcW w:w="16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2"/>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Vidello Limited (incorporated by reference to Exhibit 2.1 to the Current Report on Form 8-K filed on December 20, 2024).</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Agreement and Plan of Merger, dated January 22, 2025 by and between Banzai International, Inc. and Act-On Software, Inc.</w:t>
              </w:r>
            </w:hyperlink>
          </w:p>
        </w:tc>
        <w:tc>
          <w:tcPr>
            <w:tcW w:w="820" w:type="dxa"/>
            <w:vAlign w:val="bottom"/>
            <w:gridSpan w:val="1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(incorporated by reference to the Current Report on Form 8-K filed on January 23, 2025)</w:t>
              </w:r>
            </w:hyperlink>
          </w:p>
        </w:tc>
        <w:tc>
          <w:tcPr>
            <w:tcW w:w="20" w:type="dxa"/>
            <w:vAlign w:val="bottom"/>
            <w:tcBorders>
              <w:bottom w:val="single" w:sz="8" w:color="0000EE"/>
            </w:tcBorders>
          </w:tcPr>
          <w:p>
            <w:pPr>
              <w:spacing w:after="0"/>
              <w:rPr>
                <w:sz w:val="17"/>
                <w:szCs w:val="17"/>
                <w:color w:val="auto"/>
              </w:rPr>
            </w:pPr>
          </w:p>
        </w:tc>
        <w:tc>
          <w:tcPr>
            <w:tcW w:w="3420" w:type="dxa"/>
            <w:vAlign w:val="bottom"/>
            <w:gridSpan w:val="28"/>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Second Amended and Restated Certificate of Incorporation of the Company, dated December 14, 2023. (incorporated by reference to</w:t>
              </w:r>
            </w:hyperlink>
          </w:p>
        </w:tc>
        <w:tc>
          <w:tcPr>
            <w:tcW w:w="22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the Exhibit 3.1 to the Current Report on Form 8-K filed on December 20, 2023).</w:t>
              </w:r>
            </w:hyperlink>
          </w:p>
        </w:tc>
        <w:tc>
          <w:tcPr>
            <w:tcW w:w="4020" w:type="dxa"/>
            <w:vAlign w:val="bottom"/>
            <w:gridSpan w:val="34"/>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Second Amended and Restated Bylaws of the Company, dated December 14, 2023 (incorporated by reference to the Exhibit 3.2 to the</w:t>
              </w:r>
            </w:hyperlink>
          </w:p>
        </w:tc>
        <w:tc>
          <w:tcPr>
            <w:tcW w:w="14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Current Report on Form 8-K filed on December 20, 2023).</w:t>
              </w:r>
            </w:hyperlink>
          </w:p>
        </w:tc>
        <w:tc>
          <w:tcPr>
            <w:tcW w:w="5580" w:type="dxa"/>
            <w:vAlign w:val="bottom"/>
            <w:gridSpan w:val="36"/>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Third Amended and Restated Bylaws of the Company, dated March 3, 2025 (incorporated by reference to the Exhibit 3.2 to the Current</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Report on Form 8-K filed on March 4, 2025).</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Amendment to Second Amended and Restated Certificate of Incorporation of the Company, dated September 11, 2024. (incorporated</w:t>
              </w:r>
            </w:hyperlink>
          </w:p>
        </w:tc>
        <w:tc>
          <w:tcPr>
            <w:tcW w:w="20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by reference to the Exhibit 3.1 to the Current Report on Form 8-K filed on September 16, 2024).</w:t>
              </w:r>
            </w:hyperlink>
          </w:p>
        </w:tc>
        <w:tc>
          <w:tcPr>
            <w:tcW w:w="20" w:type="dxa"/>
            <w:vAlign w:val="bottom"/>
            <w:tcBorders>
              <w:bottom w:val="single" w:sz="8" w:color="0000EE"/>
            </w:tcBorders>
          </w:tcPr>
          <w:p>
            <w:pPr>
              <w:spacing w:after="0"/>
              <w:rPr>
                <w:sz w:val="17"/>
                <w:szCs w:val="17"/>
                <w:color w:val="auto"/>
              </w:rPr>
            </w:pPr>
          </w:p>
        </w:tc>
        <w:tc>
          <w:tcPr>
            <w:tcW w:w="2880" w:type="dxa"/>
            <w:vAlign w:val="bottom"/>
            <w:gridSpan w:val="24"/>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Amendment to Second Amended and Restated Certificate of Incorporation of the Company, dated March 3, 2025. (incorporated by</w:t>
              </w:r>
            </w:hyperlink>
          </w:p>
        </w:tc>
        <w:tc>
          <w:tcPr>
            <w:tcW w:w="360" w:type="dxa"/>
            <w:vAlign w:val="bottom"/>
            <w:gridSpan w:val="1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reference to the Exhibit 3.1 to the Current Report on Form 8-K filed on March 4, 2025).</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30"/>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Specimen Class A Common Stock Certificate of the Company (incorporated by reference to the Exhibit 4.1 to the Current Report on</w:t>
              </w:r>
            </w:hyperlink>
          </w:p>
        </w:tc>
        <w:tc>
          <w:tcPr>
            <w:tcW w:w="240" w:type="dxa"/>
            <w:vAlign w:val="bottom"/>
            <w:gridSpan w:val="11"/>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8-K filed on December 20, 2023).</w:t>
              </w:r>
            </w:hyperlink>
          </w:p>
        </w:tc>
        <w:tc>
          <w:tcPr>
            <w:tcW w:w="6940" w:type="dxa"/>
            <w:vAlign w:val="bottom"/>
            <w:gridSpan w:val="38"/>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Specimen Class B Common Stock Certificate of the Company (incorporated by reference to the Exhibit 4.2 to the Current Report on</w:t>
              </w:r>
            </w:hyperlink>
          </w:p>
        </w:tc>
        <w:tc>
          <w:tcPr>
            <w:tcW w:w="26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8-K filed on December 20, 2023).</w:t>
              </w:r>
            </w:hyperlink>
          </w:p>
        </w:tc>
        <w:tc>
          <w:tcPr>
            <w:tcW w:w="6940" w:type="dxa"/>
            <w:vAlign w:val="bottom"/>
            <w:gridSpan w:val="38"/>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Specimen Warrant Certificate of the Company (incorporated by reference to the Exhibit 4.3 to the Current Report on Form 8-K filed on</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December 20, 2023).</w:t>
              </w:r>
            </w:hyperlink>
          </w:p>
        </w:tc>
        <w:tc>
          <w:tcPr>
            <w:tcW w:w="8300" w:type="dxa"/>
            <w:vAlign w:val="bottom"/>
            <w:gridSpan w:val="41"/>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Warrant Agreement, dated December 22, 2020, by and between 7GC and Continental Stock Transfer &amp; Trust Company, as warrant</w:t>
              </w:r>
            </w:hyperlink>
          </w:p>
        </w:tc>
        <w:tc>
          <w:tcPr>
            <w:tcW w:w="340" w:type="dxa"/>
            <w:vAlign w:val="bottom"/>
            <w:gridSpan w:val="1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agent (incorporated by reference to Exhibit 4.1 to the Current Report on Form 8-K filed by 7GC on December 28, 2020).</w:t>
              </w:r>
            </w:hyperlink>
          </w:p>
        </w:tc>
        <w:tc>
          <w:tcPr>
            <w:tcW w:w="1100" w:type="dxa"/>
            <w:vAlign w:val="bottom"/>
            <w:gridSpan w:val="21"/>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Convertible Promissory Note, by and among Banzai and CP BF Lending, LLC (incorporated by reference to</w:t>
              </w:r>
            </w:hyperlink>
          </w:p>
        </w:tc>
        <w:tc>
          <w:tcPr>
            <w:tcW w:w="280" w:type="dxa"/>
            <w:vAlign w:val="bottom"/>
            <w:gridSpan w:val="1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Exhibit 4.7 to the Registration Statement on Form S-4 filed by 7GC on August 30, 2023).</w:t>
              </w:r>
            </w:hyperlink>
          </w:p>
        </w:tc>
        <w:tc>
          <w:tcPr>
            <w:tcW w:w="3360" w:type="dxa"/>
            <w:vAlign w:val="bottom"/>
            <w:gridSpan w:val="27"/>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Subordinated Promissory Note, dated December 13, 2023, issued by the Company to Alco Investment Company (incorporated by</w:t>
              </w:r>
            </w:hyperlink>
          </w:p>
        </w:tc>
        <w:tc>
          <w:tcPr>
            <w:tcW w:w="480" w:type="dxa"/>
            <w:vAlign w:val="bottom"/>
            <w:gridSpan w:val="1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reference to the Exhibit 4.5 to the Current Report on Form 8-K filed on December 20, 2023).</w:t>
              </w:r>
            </w:hyperlink>
          </w:p>
        </w:tc>
        <w:tc>
          <w:tcPr>
            <w:tcW w:w="3120" w:type="dxa"/>
            <w:vAlign w:val="bottom"/>
            <w:gridSpan w:val="26"/>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Warrant to Purchase Shares of Common Stock of Banzai International, Inc., dated December 15, 2023, issued by the Company to GEM</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Yield Bahamas Limited (incorporated by reference to the Exhibit 4.7 to the Current Report on Form 8-K filed on December 20, 2023).</w:t>
              </w:r>
            </w:hyperlink>
          </w:p>
        </w:tc>
        <w:tc>
          <w:tcPr>
            <w:tcW w:w="100" w:type="dxa"/>
            <w:vAlign w:val="bottom"/>
            <w:gridSpan w:val="5"/>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Promissory Note, dated as of December 14, 2023, issued by Banzai International, Inc. to YA II PN, LTD (incorporated by reference to</w:t>
              </w:r>
            </w:hyperlink>
          </w:p>
        </w:tc>
        <w:tc>
          <w:tcPr>
            <w:tcW w:w="12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2"/>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Exhibit 10.2 to the Current Report on Form 8-K filed on December 18, 2023)</w:t>
              </w:r>
              <w:r>
                <w:rPr>
                  <w:rFonts w:ascii="Times New Roman" w:cs="Times New Roman" w:eastAsia="Times New Roman" w:hAnsi="Times New Roman"/>
                  <w:sz w:val="18"/>
                  <w:szCs w:val="18"/>
                  <w:color w:val="000000"/>
                </w:rPr>
                <w:t>.</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3780" w:type="dxa"/>
            <w:vAlign w:val="bottom"/>
            <w:tcBorders>
              <w:right w:val="single" w:sz="8" w:color="0000EE"/>
            </w:tcBorders>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20"/>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Promissory Note, dated as of February 5, 2024, issued by Banzai International, Inc. to YA II PN, LTD (incorporated by reference to the</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Exhibit 4.11 to the Registration Statement on Form S-1 filed on February 5, 2024).</w:t>
              </w:r>
            </w:hyperlink>
          </w:p>
        </w:tc>
        <w:tc>
          <w:tcPr>
            <w:tcW w:w="3840" w:type="dxa"/>
            <w:vAlign w:val="bottom"/>
            <w:gridSpan w:val="33"/>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Promissory Note Agreement, dated as of March 26, 2024, issued by Banzai International, Inc. to YA II PN, LTD.</w:t>
            </w:r>
          </w:p>
        </w:tc>
        <w:tc>
          <w:tcPr>
            <w:tcW w:w="1680" w:type="dxa"/>
            <w:vAlign w:val="bottom"/>
            <w:gridSpan w:val="22"/>
          </w:tcPr>
          <w:p>
            <w:pPr>
              <w:spacing w:after="0"/>
              <w:rPr>
                <w:sz w:val="17"/>
                <w:szCs w:val="17"/>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r>
              <w:rPr>
                <w:rFonts w:ascii="Times New Roman" w:cs="Times New Roman" w:eastAsia="Times New Roman" w:hAnsi="Times New Roman"/>
                <w:sz w:val="18"/>
                <w:szCs w:val="18"/>
                <w:color w:val="000000"/>
              </w:rPr>
              <w:t>.</w:t>
            </w: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Borders>
              <w:right w:val="single" w:sz="8" w:color="0000EE"/>
            </w:tcBorders>
            <w:gridSpan w:val="2"/>
            <w:shd w:val="clear" w:color="auto" w:fill="0000FF"/>
          </w:tcPr>
          <w:p>
            <w:pPr>
              <w:spacing w:after="0" w:line="20" w:lineRule="exact"/>
              <w:rPr>
                <w:sz w:val="1"/>
                <w:szCs w:val="1"/>
                <w:color w:val="auto"/>
              </w:rPr>
            </w:pPr>
          </w:p>
        </w:tc>
        <w:tc>
          <w:tcPr>
            <w:tcW w:w="7040" w:type="dxa"/>
            <w:vAlign w:val="bottom"/>
            <w:gridSpan w:val="20"/>
          </w:tcPr>
          <w:p>
            <w:pPr>
              <w:spacing w:after="0" w:line="20" w:lineRule="exact"/>
              <w:rPr>
                <w:sz w:val="1"/>
                <w:szCs w:val="1"/>
                <w:color w:val="auto"/>
              </w:rPr>
            </w:pPr>
          </w:p>
        </w:tc>
        <w:tc>
          <w:tcPr>
            <w:tcW w:w="1000" w:type="dxa"/>
            <w:vAlign w:val="bottom"/>
            <w:gridSpan w:val="20"/>
          </w:tcPr>
          <w:p>
            <w:pPr>
              <w:spacing w:after="0" w:line="20" w:lineRule="exact"/>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2"/>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Certificate of Designation of Series FE Preferred Stock (incorporated by reference to the 8-K filed on December 19, 2024).</w:t>
              </w:r>
            </w:hyperlink>
          </w:p>
        </w:tc>
      </w:tr>
      <w:tr>
        <w:trPr>
          <w:trHeight w:val="453"/>
        </w:trPr>
        <w:tc>
          <w:tcPr>
            <w:tcW w:w="1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580" w:type="dxa"/>
            <w:vAlign w:val="bottom"/>
            <w:tcBorders>
              <w:top w:val="single" w:sz="8" w:color="0000FF"/>
            </w:tcBorders>
            <w:gridSpan w:val="7"/>
          </w:tcPr>
          <w:p>
            <w:pPr>
              <w:jc w:val="right"/>
              <w:ind w:right="117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3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Letter Agreement, dated December 22, 2020, by and among 7GC, its officers, its directors and the 7GC Sponsor (incorporated by</w:t>
              </w:r>
            </w:hyperlink>
          </w:p>
        </w:tc>
        <w:tc>
          <w:tcPr>
            <w:tcW w:w="48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reference to Exhibit 10.1 to the Current Report on Form 8-K filed by 7GC on December 28, 2020).</w:t>
              </w:r>
            </w:hyperlink>
          </w:p>
        </w:tc>
        <w:tc>
          <w:tcPr>
            <w:tcW w:w="2680" w:type="dxa"/>
            <w:vAlign w:val="bottom"/>
            <w:gridSpan w:val="25"/>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7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Private Placement Warrants Purchase Agreement, dated December 22, 2020, by and between 7GC and the 7GC Sponsor (incorporated</w:t>
              </w:r>
            </w:hyperlink>
          </w:p>
        </w:tc>
        <w:tc>
          <w:tcPr>
            <w:tcW w:w="1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by reference to Exhibit 10.5 to the Current Report on Form 8-K filed by 7GC on December 15, 2020).</w:t>
              </w:r>
            </w:hyperlink>
          </w:p>
        </w:tc>
        <w:tc>
          <w:tcPr>
            <w:tcW w:w="2460" w:type="dxa"/>
            <w:vAlign w:val="bottom"/>
            <w:gridSpan w:val="24"/>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4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Amended and Restated Registration Rights Agreement, dated December 14, 2023, by and among the Company, the 7GC Sponsor,</w:t>
              </w:r>
            </w:hyperlink>
          </w:p>
        </w:tc>
        <w:tc>
          <w:tcPr>
            <w:tcW w:w="42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certain stockholders of the Company (incorporated by reference to Exhibit 10.6 to the Current Report on Form 8-K filed on December</w:t>
              </w:r>
            </w:hyperlink>
          </w:p>
        </w:tc>
      </w:tr>
      <w:tr>
        <w:trPr>
          <w:trHeight w:val="196"/>
        </w:trPr>
        <w:tc>
          <w:tcPr>
            <w:tcW w:w="1380" w:type="dxa"/>
            <w:vAlign w:val="bottom"/>
          </w:tcPr>
          <w:p>
            <w:pPr>
              <w:spacing w:after="0"/>
              <w:rPr>
                <w:sz w:val="17"/>
                <w:szCs w:val="17"/>
                <w:color w:val="auto"/>
              </w:rPr>
            </w:pPr>
          </w:p>
        </w:tc>
        <w:tc>
          <w:tcPr>
            <w:tcW w:w="780" w:type="dxa"/>
            <w:vAlign w:val="bottom"/>
            <w:tcBorders>
              <w:top w:val="single" w:sz="8" w:color="0000FF"/>
              <w:bottom w:val="single" w:sz="8" w:color="0000EE"/>
            </w:tcBorders>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20, 2023).</w:t>
              </w:r>
            </w:hyperlink>
          </w:p>
        </w:tc>
        <w:tc>
          <w:tcPr>
            <w:tcW w:w="6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986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Lock-Up Agreement, by and between the Company and certain stockholders and executives of Legacy Banzai (incorporated by</w:t>
              </w:r>
            </w:hyperlink>
          </w:p>
        </w:tc>
      </w:tr>
      <w:tr>
        <w:trPr>
          <w:trHeight w:val="196"/>
        </w:trPr>
        <w:tc>
          <w:tcPr>
            <w:tcW w:w="1380" w:type="dxa"/>
            <w:vAlign w:val="bottom"/>
          </w:tcPr>
          <w:p>
            <w:pPr>
              <w:spacing w:after="0"/>
              <w:rPr>
                <w:sz w:val="17"/>
                <w:szCs w:val="17"/>
                <w:color w:val="auto"/>
              </w:rPr>
            </w:pPr>
          </w:p>
        </w:tc>
        <w:tc>
          <w:tcPr>
            <w:tcW w:w="6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reference to Annex D to the Registration Statement on Form S-4 filed on August 31, 2023).</w:t>
              </w:r>
            </w:hyperlink>
          </w:p>
        </w:tc>
        <w:tc>
          <w:tcPr>
            <w:tcW w:w="3220" w:type="dxa"/>
            <w:vAlign w:val="bottom"/>
            <w:gridSpan w:val="26"/>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978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Banzai International, Inc. 2023 Equity Incentive Plan (incorporated by reference to Exhibit 99.1 to the Registration Statement on Form</w:t>
              </w:r>
            </w:hyperlink>
          </w:p>
        </w:tc>
        <w:tc>
          <w:tcPr>
            <w:tcW w:w="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S-8 filed on March 25, 2024).</w:t>
              </w:r>
            </w:hyperlink>
          </w:p>
        </w:tc>
        <w:tc>
          <w:tcPr>
            <w:tcW w:w="7660" w:type="dxa"/>
            <w:vAlign w:val="bottom"/>
            <w:gridSpan w:val="36"/>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98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Banzai International, Inc. 2023 Employee Stock Purchase Plan (incorporated by reference to Exhibit 99.2 to the Registration Statement</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on Form S-8 filed on March 25, 2024).</w:t>
              </w:r>
            </w:hyperlink>
          </w:p>
        </w:tc>
        <w:tc>
          <w:tcPr>
            <w:tcW w:w="7000" w:type="dxa"/>
            <w:vAlign w:val="bottom"/>
            <w:gridSpan w:val="34"/>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98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Loan Agreement, dated February 19, 2021, by and among the Company, Joseph P. Davy as an Individual Guarantor, Demio, Inc., as an</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Individual Guarantor and CP BF Lending, LLC, as Lender (incorporated by reference to Exhibit 10.16 to the Registration Statement on</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S-4 filed by 7GC on August 30, 2023).</w:t>
              </w:r>
            </w:hyperlink>
          </w:p>
        </w:tc>
        <w:tc>
          <w:tcPr>
            <w:tcW w:w="6580" w:type="dxa"/>
            <w:vAlign w:val="bottom"/>
            <w:gridSpan w:val="33"/>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7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Forbearance Agreement, dated August 24, 2023, by and among the Company, the guarantors party to the Loan Agreement (as defined</w:t>
              </w:r>
            </w:hyperlink>
          </w:p>
        </w:tc>
        <w:tc>
          <w:tcPr>
            <w:tcW w:w="16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therein), and CP BF Lending, LLC (incorporated by reference to Exhibit 10.18 to the Registration Statement on Form S-4 filed by 7GC</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on August 30, 2023).</w:t>
              </w:r>
            </w:hyperlink>
          </w:p>
        </w:tc>
        <w:tc>
          <w:tcPr>
            <w:tcW w:w="8280" w:type="dxa"/>
            <w:vAlign w:val="bottom"/>
            <w:gridSpan w:val="38"/>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6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Promissory Note, dated October 3, 2023, issued by 7GC to the 7GC Sponsor (incorporated by reference to Exhibit 10.1 to the Current</w:t>
              </w:r>
            </w:hyperlink>
          </w:p>
        </w:tc>
        <w:tc>
          <w:tcPr>
            <w:tcW w:w="18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Report on Form 8-K filed by 7GC on October 4, 2023).</w:t>
              </w:r>
            </w:hyperlink>
          </w:p>
        </w:tc>
        <w:tc>
          <w:tcPr>
            <w:tcW w:w="5820" w:type="dxa"/>
            <w:vAlign w:val="bottom"/>
            <w:gridSpan w:val="32"/>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3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Standby Equity Purchase Agreement, dated as of December 14, 2023, by and among the Company, YA II PN, LTD., and Banzai</w:t>
              </w:r>
            </w:hyperlink>
          </w:p>
        </w:tc>
        <w:tc>
          <w:tcPr>
            <w:tcW w:w="52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Operating Co LLC (f/k/a Banzai International, Inc.). (incorporated by reference to Exhibit 10.1 to the Current Report on Form 8-K filed</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on December 18, 2023).</w:t>
              </w:r>
            </w:hyperlink>
          </w:p>
        </w:tc>
        <w:tc>
          <w:tcPr>
            <w:tcW w:w="8060" w:type="dxa"/>
            <w:vAlign w:val="bottom"/>
            <w:gridSpan w:val="3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6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Registration Rights Agreement, dated as of December 14, 2023, by and between the Company and YA II PN, LTD. (incorporated by</w:t>
              </w:r>
            </w:hyperlink>
          </w:p>
        </w:tc>
        <w:tc>
          <w:tcPr>
            <w:tcW w:w="24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reference to Exhibit 10.3 to the Current Report on Form 8-K filed on December 18, 2023).</w:t>
              </w:r>
            </w:hyperlink>
          </w:p>
        </w:tc>
        <w:tc>
          <w:tcPr>
            <w:tcW w:w="3300" w:type="dxa"/>
            <w:vAlign w:val="bottom"/>
            <w:gridSpan w:val="2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6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Share Transfer Agreement, dated December 13, 2023, by and among the Company, the 7GC Sponsor and Alco Investment Company</w:t>
              </w:r>
            </w:hyperlink>
          </w:p>
        </w:tc>
        <w:tc>
          <w:tcPr>
            <w:tcW w:w="22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8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(incorporated by reference to Exhibit 10.5 to the Current Report on Form 8-K filed on December 20, 2023).</w:t>
              </w:r>
            </w:hyperlink>
          </w:p>
        </w:tc>
        <w:tc>
          <w:tcPr>
            <w:tcW w:w="2060" w:type="dxa"/>
            <w:vAlign w:val="bottom"/>
            <w:gridSpan w:val="21"/>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6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Indemnification Agreement by and between the Company and its directors and officers (incorporated by reference to Exhibit</w:t>
              </w:r>
            </w:hyperlink>
          </w:p>
        </w:tc>
        <w:tc>
          <w:tcPr>
            <w:tcW w:w="20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the Current Report on Form 8-K filed on December 20, 2023).</w:t>
              </w:r>
            </w:hyperlink>
          </w:p>
        </w:tc>
        <w:tc>
          <w:tcPr>
            <w:tcW w:w="4760" w:type="dxa"/>
            <w:vAlign w:val="bottom"/>
            <w:gridSpan w:val="29"/>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86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Amendment to Fee Reduction Agreement, dated December 28, 2023, by and between the Company and Cantor Fitzgerald (incorporated</w:t>
              </w:r>
            </w:hyperlink>
          </w:p>
        </w:tc>
      </w:tr>
      <w:tr>
        <w:trPr>
          <w:trHeight w:val="196"/>
        </w:trPr>
        <w:tc>
          <w:tcPr>
            <w:tcW w:w="1380" w:type="dxa"/>
            <w:vAlign w:val="bottom"/>
          </w:tcPr>
          <w:p>
            <w:pPr>
              <w:spacing w:after="0"/>
              <w:rPr>
                <w:sz w:val="17"/>
                <w:szCs w:val="17"/>
                <w:color w:val="auto"/>
              </w:rPr>
            </w:pPr>
          </w:p>
        </w:tc>
        <w:tc>
          <w:tcPr>
            <w:tcW w:w="75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by reference to the Exhibit 10.26 to the Registration Statement on Form S-1 filed on February 5, 2024).</w:t>
              </w:r>
            </w:hyperlink>
          </w:p>
        </w:tc>
        <w:tc>
          <w:tcPr>
            <w:tcW w:w="2360" w:type="dxa"/>
            <w:vAlign w:val="bottom"/>
            <w:gridSpan w:val="23"/>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78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Settlement Agreement, dated February 5, 2024, by and between the Company, GEM Global Yield LLC SCS and GEM Yield Bahamas</w:t>
              </w:r>
            </w:hyperlink>
          </w:p>
        </w:tc>
        <w:tc>
          <w:tcPr>
            <w:tcW w:w="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3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Limited (incorporated by reference to the Exhibit 10.27 of Amendment No. 1 to the Registration Statement on Form S-1 filed on</w:t>
              </w:r>
            </w:hyperlink>
          </w:p>
        </w:tc>
        <w:tc>
          <w:tcPr>
            <w:tcW w:w="54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February 5, 2024).</w:t>
              </w:r>
            </w:hyperlink>
          </w:p>
        </w:tc>
        <w:tc>
          <w:tcPr>
            <w:tcW w:w="8480" w:type="dxa"/>
            <w:vAlign w:val="bottom"/>
            <w:gridSpan w:val="39"/>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2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Unsecured Promissory Note, dated February 5, 2024, issued by the Company to GEM Global Yield LLC SCS (incorporated by</w:t>
              </w:r>
            </w:hyperlink>
          </w:p>
        </w:tc>
        <w:tc>
          <w:tcPr>
            <w:tcW w:w="66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reference to Exhibit 10.4 to the Current Report on Form 8-K filed on February 8 ,2024).</w:t>
              </w:r>
            </w:hyperlink>
          </w:p>
        </w:tc>
      </w:tr>
      <w:tr>
        <w:trPr>
          <w:trHeight w:val="20"/>
        </w:trPr>
        <w:tc>
          <w:tcPr>
            <w:tcW w:w="1380" w:type="dxa"/>
            <w:vAlign w:val="bottom"/>
          </w:tcPr>
          <w:p>
            <w:pPr>
              <w:spacing w:after="0" w:line="20" w:lineRule="exact"/>
              <w:rPr>
                <w:sz w:val="1"/>
                <w:szCs w:val="1"/>
                <w:color w:val="auto"/>
              </w:rPr>
            </w:pPr>
          </w:p>
        </w:tc>
        <w:tc>
          <w:tcPr>
            <w:tcW w:w="2700" w:type="dxa"/>
            <w:vAlign w:val="bottom"/>
            <w:tcBorders>
              <w:right w:val="single" w:sz="8" w:color="0000FF"/>
            </w:tcBorders>
            <w:gridSpan w:val="6"/>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2"/>
            <w:shd w:val="clear" w:color="auto" w:fill="0000FF"/>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5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Supplemental Agreement, dated February 5, 2024, by and between the Company and YA II PN, LTD (incorporated by reference to</w:t>
              </w:r>
            </w:hyperlink>
          </w:p>
        </w:tc>
        <w:tc>
          <w:tcPr>
            <w:tcW w:w="36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6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Exhibit 10.29 of Amendment No. 1 to the Registration Statement on Form S-1 filed on February 5, 2024).</w:t>
              </w:r>
            </w:hyperlink>
          </w:p>
        </w:tc>
        <w:tc>
          <w:tcPr>
            <w:tcW w:w="2220" w:type="dxa"/>
            <w:vAlign w:val="bottom"/>
            <w:gridSpan w:val="22"/>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76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Addendum to Letter Agreements, dated February 5, 2024, by and between the Company and Roth Capital Partners, LLC (incorporated</w:t>
              </w:r>
            </w:hyperlink>
          </w:p>
        </w:tc>
        <w:tc>
          <w:tcPr>
            <w:tcW w:w="10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0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by reference to the Exhibit 10.30 of Amendment No. 1 to the Registration Statement on Form S-1 filed on February 5, 2024).</w:t>
              </w:r>
            </w:hyperlink>
          </w:p>
        </w:tc>
        <w:tc>
          <w:tcPr>
            <w:tcW w:w="800" w:type="dxa"/>
            <w:vAlign w:val="bottom"/>
            <w:gridSpan w:val="18"/>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5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Convertible Promissory Note issued to YA II PN, LTD (incorporated by reference to exhibit 10.1 to the Current Report on</w:t>
              </w:r>
            </w:hyperlink>
          </w:p>
        </w:tc>
        <w:tc>
          <w:tcPr>
            <w:tcW w:w="36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8-K filed on February 3, 2025).</w:t>
              </w:r>
            </w:hyperlink>
          </w:p>
        </w:tc>
      </w:tr>
      <w:tr>
        <w:trPr>
          <w:trHeight w:val="20"/>
        </w:trPr>
        <w:tc>
          <w:tcPr>
            <w:tcW w:w="1380" w:type="dxa"/>
            <w:vAlign w:val="bottom"/>
          </w:tcPr>
          <w:p>
            <w:pPr>
              <w:spacing w:after="0" w:line="20" w:lineRule="exact"/>
              <w:rPr>
                <w:sz w:val="1"/>
                <w:szCs w:val="1"/>
                <w:color w:val="auto"/>
              </w:rPr>
            </w:pPr>
          </w:p>
        </w:tc>
        <w:tc>
          <w:tcPr>
            <w:tcW w:w="2700" w:type="dxa"/>
            <w:vAlign w:val="bottom"/>
            <w:tcBorders>
              <w:right w:val="single" w:sz="8" w:color="0000EE"/>
            </w:tcBorders>
            <w:gridSpan w:val="6"/>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4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Second Amendment to Loan Agreement by and among the Company, Demio Holding Inc., Banzai Operating Co. LLC and CP BF</w:t>
              </w:r>
            </w:hyperlink>
          </w:p>
        </w:tc>
        <w:tc>
          <w:tcPr>
            <w:tcW w:w="42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Lending, LLC, as Lender dated as of September 23, 2024 (incorporated by reference to the Exhibit 10.19 to the Current Report on Form</w:t>
              </w:r>
            </w:hyperlink>
          </w:p>
        </w:tc>
      </w:tr>
      <w:tr>
        <w:trPr>
          <w:trHeight w:val="196"/>
        </w:trPr>
        <w:tc>
          <w:tcPr>
            <w:tcW w:w="1380" w:type="dxa"/>
            <w:vAlign w:val="bottom"/>
          </w:tcPr>
          <w:p>
            <w:pPr>
              <w:spacing w:after="0"/>
              <w:rPr>
                <w:sz w:val="17"/>
                <w:szCs w:val="17"/>
                <w:color w:val="auto"/>
              </w:rPr>
            </w:pPr>
          </w:p>
        </w:tc>
        <w:tc>
          <w:tcPr>
            <w:tcW w:w="27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8-K/A filed on September 27, 2024).</w:t>
              </w:r>
            </w:hyperlink>
          </w:p>
        </w:tc>
        <w:tc>
          <w:tcPr>
            <w:tcW w:w="7160" w:type="dxa"/>
            <w:vAlign w:val="bottom"/>
            <w:gridSpan w:val="35"/>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8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Debt Repayment Agreement, dated as of May 3, 2024, by and among the Company and Yorkville (incorporated by reference to Exhibit</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99.</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Current Report on Form 8-K filed on May 16, 2024).</w:t>
              </w:r>
            </w:hyperlink>
          </w:p>
        </w:tc>
        <w:tc>
          <w:tcPr>
            <w:tcW w:w="20" w:type="dxa"/>
            <w:vAlign w:val="bottom"/>
            <w:tcBorders>
              <w:bottom w:val="single" w:sz="8" w:color="0000EE"/>
            </w:tcBorders>
          </w:tcPr>
          <w:p>
            <w:pPr>
              <w:spacing w:after="0"/>
              <w:rPr>
                <w:sz w:val="17"/>
                <w:szCs w:val="17"/>
                <w:color w:val="auto"/>
              </w:rPr>
            </w:pPr>
          </w:p>
        </w:tc>
        <w:tc>
          <w:tcPr>
            <w:tcW w:w="5200" w:type="dxa"/>
            <w:vAlign w:val="bottom"/>
            <w:gridSpan w:val="30"/>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0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Amended and Restated Debt Repayment Agreement, dated as of May 22, 2024, by and between the Company and Yorkville</w:t>
              </w:r>
            </w:hyperlink>
          </w:p>
        </w:tc>
        <w:tc>
          <w:tcPr>
            <w:tcW w:w="860" w:type="dxa"/>
            <w:vAlign w:val="bottom"/>
            <w:gridSpan w:val="1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 by reference to Exhibit 4.12 to the Registration Statement filed on Form S-1 on September 19, 2024).</w:t>
              </w:r>
            </w:hyperlink>
          </w:p>
        </w:tc>
      </w:tr>
      <w:tr>
        <w:trPr>
          <w:trHeight w:val="453"/>
        </w:trPr>
        <w:tc>
          <w:tcPr>
            <w:tcW w:w="1380" w:type="dxa"/>
            <w:vAlign w:val="bottom"/>
          </w:tcPr>
          <w:p>
            <w:pPr>
              <w:spacing w:after="0"/>
              <w:rPr>
                <w:sz w:val="24"/>
                <w:szCs w:val="24"/>
                <w:color w:val="auto"/>
              </w:rPr>
            </w:pPr>
          </w:p>
        </w:tc>
        <w:tc>
          <w:tcPr>
            <w:tcW w:w="4640" w:type="dxa"/>
            <w:vAlign w:val="bottom"/>
            <w:tcBorders>
              <w:top w:val="single" w:sz="8" w:color="0000FF"/>
            </w:tcBorders>
            <w:gridSpan w:val="10"/>
          </w:tcPr>
          <w:p>
            <w:pPr>
              <w:ind w:left="416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8"/>
              </w:rPr>
              <w:t>10.23</w:t>
            </w:r>
          </w:p>
        </w:tc>
        <w:tc>
          <w:tcPr>
            <w:tcW w:w="9860" w:type="dxa"/>
            <w:vAlign w:val="bottom"/>
            <w:gridSpan w:val="41"/>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Securities Purchase Agreement (incorporated by reference to Exhibit 10.1 to the Current Report on Form 8-K filed on May 28,</w:t>
              </w:r>
            </w:hyperlink>
          </w:p>
        </w:tc>
      </w:tr>
      <w:tr>
        <w:trPr>
          <w:trHeight w:val="196"/>
        </w:trPr>
        <w:tc>
          <w:tcPr>
            <w:tcW w:w="13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15">
              <w:r>
                <w:rPr>
                  <w:rFonts w:ascii="Times New Roman" w:cs="Times New Roman" w:eastAsia="Times New Roman" w:hAnsi="Times New Roman"/>
                  <w:sz w:val="18"/>
                  <w:szCs w:val="18"/>
                  <w:color w:val="0000FF"/>
                  <w:w w:val="94"/>
                </w:rPr>
                <w:t>2024).</w:t>
              </w:r>
            </w:hyperlink>
          </w:p>
        </w:tc>
        <w:tc>
          <w:tcPr>
            <w:tcW w:w="20" w:type="dxa"/>
            <w:vAlign w:val="bottom"/>
            <w:tcBorders>
              <w:top w:val="single" w:sz="8" w:color="0000FF"/>
              <w:bottom w:val="single" w:sz="8" w:color="0000EE"/>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94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Securities Purchase Agreement (incorporated by reference to the Exhibit 10.1 to the Current Report on Form 8-K filed on</w:t>
              </w:r>
            </w:hyperlink>
          </w:p>
        </w:tc>
        <w:tc>
          <w:tcPr>
            <w:tcW w:w="42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5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September 27, 2024).</w:t>
              </w:r>
            </w:hyperlink>
          </w:p>
        </w:tc>
        <w:tc>
          <w:tcPr>
            <w:tcW w:w="40" w:type="dxa"/>
            <w:vAlign w:val="bottom"/>
            <w:tcBorders>
              <w:bottom w:val="single" w:sz="8" w:color="0000EE"/>
            </w:tcBorders>
          </w:tcPr>
          <w:p>
            <w:pPr>
              <w:spacing w:after="0"/>
              <w:rPr>
                <w:sz w:val="17"/>
                <w:szCs w:val="17"/>
                <w:color w:val="auto"/>
              </w:rPr>
            </w:pPr>
          </w:p>
        </w:tc>
        <w:tc>
          <w:tcPr>
            <w:tcW w:w="8260" w:type="dxa"/>
            <w:vAlign w:val="bottom"/>
            <w:gridSpan w:val="34"/>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92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Lock-up Agreement, dated as of September 20, 2024, by and between Banzai International, Inc. and Alco Investment Company</w:t>
              </w:r>
            </w:hyperlink>
          </w:p>
        </w:tc>
        <w:tc>
          <w:tcPr>
            <w:tcW w:w="62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(incorporated by reference to the Exhibit 10.21 to the Current Report on Form 8-K filed on September 25, 2024).</w:t>
              </w:r>
            </w:hyperlink>
          </w:p>
        </w:tc>
      </w:tr>
      <w:tr>
        <w:trPr>
          <w:trHeight w:val="20"/>
        </w:trPr>
        <w:tc>
          <w:tcPr>
            <w:tcW w:w="13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95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Registration Rights Agreement, by and between Banzai International, Inc. and Alco Investment Company (incorporated by</w:t>
              </w:r>
            </w:hyperlink>
          </w:p>
        </w:tc>
        <w:tc>
          <w:tcPr>
            <w:tcW w:w="32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reference to the Exhibit 10.20 to the Current Report on Form 8-K filed on September 25, 2024).</w:t>
              </w:r>
            </w:hyperlink>
          </w:p>
        </w:tc>
      </w:tr>
      <w:tr>
        <w:trPr>
          <w:trHeight w:val="20"/>
        </w:trPr>
        <w:tc>
          <w:tcPr>
            <w:tcW w:w="13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96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Securities Purchase Agreement, dated as of September 23, 2024, by and between Banzai International, Inc. and CP BF Lending, LLC</w:t>
              </w:r>
            </w:hyperlink>
          </w:p>
        </w:tc>
        <w:tc>
          <w:tcPr>
            <w:tcW w:w="20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 by reference to the Exhibit 10.17 to the Current Report on Form 8-K filed on September 25, 2024).</w:t>
              </w:r>
            </w:hyperlink>
          </w:p>
        </w:tc>
      </w:tr>
      <w:tr>
        <w:trPr>
          <w:trHeight w:val="20"/>
        </w:trPr>
        <w:tc>
          <w:tcPr>
            <w:tcW w:w="13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984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Lock-up Agreement, dated as of September 23, 2024, by and between Banzai International, Inc. and CP BF Lending, LLC (incorporated</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1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by reference to the Exhibit 10.25 to the Current Report on Form 8-K filed on September 25, 2024).</w:t>
              </w:r>
            </w:hyperlink>
          </w:p>
        </w:tc>
        <w:tc>
          <w:tcPr>
            <w:tcW w:w="20" w:type="dxa"/>
            <w:vAlign w:val="bottom"/>
            <w:tcBorders>
              <w:bottom w:val="single" w:sz="8" w:color="0000EE"/>
            </w:tcBorders>
          </w:tcPr>
          <w:p>
            <w:pPr>
              <w:spacing w:after="0"/>
              <w:rPr>
                <w:sz w:val="17"/>
                <w:szCs w:val="17"/>
                <w:color w:val="auto"/>
              </w:rPr>
            </w:pPr>
          </w:p>
        </w:tc>
        <w:tc>
          <w:tcPr>
            <w:tcW w:w="2700" w:type="dxa"/>
            <w:vAlign w:val="bottom"/>
            <w:gridSpan w:val="22"/>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984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Form of Registration Rights Agreement, by and between Banzai International, Inc. and CP BF Lending, LLC (incorporated by reference</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2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to the Exhibit 10.24 to the Current Report on Form 8-K filed on September 25, 2024).</w:t>
              </w:r>
            </w:hyperlink>
          </w:p>
        </w:tc>
        <w:tc>
          <w:tcPr>
            <w:tcW w:w="20" w:type="dxa"/>
            <w:vAlign w:val="bottom"/>
            <w:tcBorders>
              <w:bottom w:val="single" w:sz="8" w:color="0000EE"/>
            </w:tcBorders>
          </w:tcPr>
          <w:p>
            <w:pPr>
              <w:spacing w:after="0"/>
              <w:rPr>
                <w:sz w:val="17"/>
                <w:szCs w:val="17"/>
                <w:color w:val="auto"/>
              </w:rPr>
            </w:pPr>
          </w:p>
        </w:tc>
        <w:tc>
          <w:tcPr>
            <w:tcW w:w="3640" w:type="dxa"/>
            <w:vAlign w:val="bottom"/>
            <w:gridSpan w:val="26"/>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94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Form of Registration Rights Agreement (incorporated by reference to the Exhibit 10.2 to the Current Report on Form 8-K filed on</w:t>
              </w:r>
            </w:hyperlink>
          </w:p>
        </w:tc>
        <w:tc>
          <w:tcPr>
            <w:tcW w:w="44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5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September 27, 2024).</w:t>
              </w:r>
            </w:hyperlink>
          </w:p>
        </w:tc>
        <w:tc>
          <w:tcPr>
            <w:tcW w:w="40" w:type="dxa"/>
            <w:vAlign w:val="bottom"/>
            <w:tcBorders>
              <w:bottom w:val="single" w:sz="8" w:color="0000EE"/>
            </w:tcBorders>
          </w:tcPr>
          <w:p>
            <w:pPr>
              <w:spacing w:after="0"/>
              <w:rPr>
                <w:sz w:val="17"/>
                <w:szCs w:val="17"/>
                <w:color w:val="auto"/>
              </w:rPr>
            </w:pPr>
          </w:p>
        </w:tc>
        <w:tc>
          <w:tcPr>
            <w:tcW w:w="8260" w:type="dxa"/>
            <w:vAlign w:val="bottom"/>
            <w:gridSpan w:val="34"/>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93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Securities Purchase Agreement, dated as of September 20, 2024, by and between Banzai International, Inc. and Alco Investment</w:t>
              </w:r>
            </w:hyperlink>
          </w:p>
        </w:tc>
        <w:tc>
          <w:tcPr>
            <w:tcW w:w="56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7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Company (incorporated by reference to the Registration Statement on Form S-1 filed with the SEC on October 16, 2024).</w:t>
              </w:r>
            </w:hyperlink>
          </w:p>
        </w:tc>
        <w:tc>
          <w:tcPr>
            <w:tcW w:w="1100" w:type="dxa"/>
            <w:vAlign w:val="bottom"/>
            <w:gridSpan w:val="18"/>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984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Repayment Agreement with Perkins Coie, LLP (incorporated by reference to the Registration Statement on Form S-1 filed with the SEC</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on October 16, 2024).</w:t>
              </w:r>
            </w:hyperlink>
          </w:p>
        </w:tc>
      </w:tr>
      <w:tr>
        <w:trPr>
          <w:trHeight w:val="20"/>
        </w:trPr>
        <w:tc>
          <w:tcPr>
            <w:tcW w:w="13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92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Amended and Restated Repayment Agreement with J.V.B Financial Group, LLC (incorporated by reference to the Registration</w:t>
              </w:r>
            </w:hyperlink>
          </w:p>
        </w:tc>
        <w:tc>
          <w:tcPr>
            <w:tcW w:w="64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Statement on Form S-1 filed with the SEC on October 16, 2024).</w:t>
              </w:r>
            </w:hyperlink>
          </w:p>
        </w:tc>
        <w:tc>
          <w:tcPr>
            <w:tcW w:w="5120" w:type="dxa"/>
            <w:vAlign w:val="bottom"/>
            <w:gridSpan w:val="29"/>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10.34</w:t>
            </w:r>
          </w:p>
        </w:tc>
        <w:tc>
          <w:tcPr>
            <w:tcW w:w="984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Investor Relations Consulting Agreement with MZHCI, LLC (incorporated by reference to the Registration Statement on Form S-1 filed</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with the SEC on October 16, 2024).</w:t>
              </w:r>
            </w:hyperlink>
          </w:p>
        </w:tc>
        <w:tc>
          <w:tcPr>
            <w:tcW w:w="7220" w:type="dxa"/>
            <w:vAlign w:val="bottom"/>
            <w:gridSpan w:val="31"/>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96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Side Letter to the Loan Agreement with CP BF Lending, LLC (incorporated by reference to the Exhibit 10.6 to the Current Report on</w:t>
              </w:r>
            </w:hyperlink>
          </w:p>
        </w:tc>
        <w:tc>
          <w:tcPr>
            <w:tcW w:w="18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Form 8-K filed on September 25, 2024).</w:t>
              </w:r>
            </w:hyperlink>
          </w:p>
        </w:tc>
        <w:tc>
          <w:tcPr>
            <w:tcW w:w="6940" w:type="dxa"/>
            <w:vAlign w:val="bottom"/>
            <w:gridSpan w:val="30"/>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980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Floor Price Adjustment Agreement with Yorkville Advisors (incorporated by reference to the Registration Statement on Form S-1 filed</w:t>
              </w:r>
            </w:hyperlink>
          </w:p>
        </w:tc>
        <w:tc>
          <w:tcPr>
            <w:tcW w:w="6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with the SEC on October 16, 2024).</w:t>
              </w:r>
            </w:hyperlink>
          </w:p>
        </w:tc>
        <w:tc>
          <w:tcPr>
            <w:tcW w:w="7220" w:type="dxa"/>
            <w:vAlign w:val="bottom"/>
            <w:gridSpan w:val="31"/>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10.37</w:t>
            </w:r>
          </w:p>
        </w:tc>
        <w:tc>
          <w:tcPr>
            <w:tcW w:w="96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Repayment Agreement with Cooley LLP (incorporated by reference to the Registration Statement on Form S-1 filed with the SEC on</w:t>
              </w:r>
            </w:hyperlink>
          </w:p>
        </w:tc>
        <w:tc>
          <w:tcPr>
            <w:tcW w:w="20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October 16, 2024).</w:t>
              </w:r>
            </w:hyperlink>
          </w:p>
        </w:tc>
      </w:tr>
      <w:tr>
        <w:trPr>
          <w:trHeight w:val="20"/>
        </w:trPr>
        <w:tc>
          <w:tcPr>
            <w:tcW w:w="1380" w:type="dxa"/>
            <w:vAlign w:val="bottom"/>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10.38</w:t>
            </w:r>
          </w:p>
        </w:tc>
        <w:tc>
          <w:tcPr>
            <w:tcW w:w="97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Settlement Letter with CohnReznick LLP (incorporated by reference to the Registration Statement on Form S-1 filed with the SEC on</w:t>
              </w:r>
            </w:hyperlink>
          </w:p>
        </w:tc>
        <w:tc>
          <w:tcPr>
            <w:tcW w:w="14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October 16, 2024).</w:t>
              </w:r>
            </w:hyperlink>
          </w:p>
        </w:tc>
        <w:tc>
          <w:tcPr>
            <w:tcW w:w="8460" w:type="dxa"/>
            <w:vAlign w:val="bottom"/>
            <w:gridSpan w:val="37"/>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10.39</w:t>
            </w:r>
          </w:p>
        </w:tc>
        <w:tc>
          <w:tcPr>
            <w:tcW w:w="95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Repayment Agreement with Sidley Austin LLP (incorporated by reference to the Registration Statement on Form S-1 filed with the</w:t>
              </w:r>
            </w:hyperlink>
          </w:p>
        </w:tc>
        <w:tc>
          <w:tcPr>
            <w:tcW w:w="34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SEC on October 16, 2024).</w:t>
              </w:r>
            </w:hyperlink>
          </w:p>
        </w:tc>
        <w:tc>
          <w:tcPr>
            <w:tcW w:w="7860" w:type="dxa"/>
            <w:vAlign w:val="bottom"/>
            <w:gridSpan w:val="33"/>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10.40</w:t>
            </w:r>
          </w:p>
        </w:tc>
        <w:tc>
          <w:tcPr>
            <w:tcW w:w="976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Repayment Agreement with Donnelley Financial LLC (incorporated by reference to the Registration Statement on Form S-1 filed with</w:t>
              </w:r>
            </w:hyperlink>
          </w:p>
        </w:tc>
        <w:tc>
          <w:tcPr>
            <w:tcW w:w="10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the SEC on October 16, 2024).</w:t>
              </w:r>
            </w:hyperlink>
          </w:p>
        </w:tc>
        <w:tc>
          <w:tcPr>
            <w:tcW w:w="7580" w:type="dxa"/>
            <w:vAlign w:val="bottom"/>
            <w:gridSpan w:val="32"/>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10.41</w:t>
            </w:r>
          </w:p>
        </w:tc>
        <w:tc>
          <w:tcPr>
            <w:tcW w:w="97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Repayment Agreement with Verista Partners, Inc. (incorporated by reference to the Registration Statement on Form S-1 filed with the</w:t>
              </w:r>
            </w:hyperlink>
          </w:p>
        </w:tc>
        <w:tc>
          <w:tcPr>
            <w:tcW w:w="16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SEC on October 16, 2024).</w:t>
              </w:r>
            </w:hyperlink>
          </w:p>
        </w:tc>
        <w:tc>
          <w:tcPr>
            <w:tcW w:w="7860" w:type="dxa"/>
            <w:vAlign w:val="bottom"/>
            <w:gridSpan w:val="33"/>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10.42</w:t>
            </w:r>
          </w:p>
        </w:tc>
        <w:tc>
          <w:tcPr>
            <w:tcW w:w="976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Consulting Agreement dated as of September 26, 2024 by and between the Company and Hudson Global Ventures, LLC (incorporated</w:t>
              </w:r>
            </w:hyperlink>
          </w:p>
        </w:tc>
        <w:tc>
          <w:tcPr>
            <w:tcW w:w="10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by reference to the Registration Statement on Form S-1 filed with the SEC on October 16, 2024).</w:t>
              </w:r>
            </w:hyperlink>
          </w:p>
        </w:tc>
        <w:tc>
          <w:tcPr>
            <w:tcW w:w="2820" w:type="dxa"/>
            <w:vAlign w:val="bottom"/>
            <w:gridSpan w:val="24"/>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10.43</w:t>
            </w:r>
          </w:p>
        </w:tc>
        <w:tc>
          <w:tcPr>
            <w:tcW w:w="91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Registration Rights Agreement (incorporated by reference to Exhibit 10.1 to the Current Report on Form 8-K filed on</w:t>
              </w:r>
            </w:hyperlink>
          </w:p>
        </w:tc>
        <w:tc>
          <w:tcPr>
            <w:tcW w:w="70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December 10, 2024).</w:t>
              </w:r>
            </w:hyperlink>
          </w:p>
        </w:tc>
      </w:tr>
      <w:tr>
        <w:trPr>
          <w:trHeight w:val="20"/>
        </w:trPr>
        <w:tc>
          <w:tcPr>
            <w:tcW w:w="13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10.44</w:t>
            </w: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Pre-Funded Warrant (incorporated by reference to Exhibit 10.2 to the Current Report on Form 8-K filed on December 10,</w:t>
              </w:r>
            </w:hyperlink>
          </w:p>
        </w:tc>
      </w:tr>
      <w:tr>
        <w:trPr>
          <w:trHeight w:val="196"/>
        </w:trPr>
        <w:tc>
          <w:tcPr>
            <w:tcW w:w="13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36">
              <w:r>
                <w:rPr>
                  <w:rFonts w:ascii="Times New Roman" w:cs="Times New Roman" w:eastAsia="Times New Roman" w:hAnsi="Times New Roman"/>
                  <w:sz w:val="18"/>
                  <w:szCs w:val="18"/>
                  <w:color w:val="0000FF"/>
                  <w:w w:val="94"/>
                </w:rPr>
                <w:t>2024).</w:t>
              </w:r>
            </w:hyperlink>
          </w:p>
        </w:tc>
        <w:tc>
          <w:tcPr>
            <w:tcW w:w="20" w:type="dxa"/>
            <w:vAlign w:val="bottom"/>
            <w:tcBorders>
              <w:top w:val="single" w:sz="8" w:color="0000FF"/>
              <w:bottom w:val="single" w:sz="8" w:color="0000EE"/>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10.45</w:t>
            </w:r>
          </w:p>
        </w:tc>
        <w:tc>
          <w:tcPr>
            <w:tcW w:w="86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Form of Subscription Booklet (incorporated by reference to the Current Report on Form 8-K filed on January 23, 2025)</w:t>
              </w:r>
            </w:hyperlink>
          </w:p>
        </w:tc>
        <w:tc>
          <w:tcPr>
            <w:tcW w:w="1240" w:type="dxa"/>
            <w:vAlign w:val="bottom"/>
            <w:gridSpan w:val="19"/>
          </w:tcPr>
          <w:p>
            <w:pPr>
              <w:spacing w:after="0"/>
              <w:rPr>
                <w:sz w:val="17"/>
                <w:szCs w:val="17"/>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10.46</w:t>
            </w: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Form of Pre-Funded Warrant (incorporated by reference to the Current Report on Form 8-K filed on January 23, 2025)</w:t>
              </w:r>
            </w:hyperlink>
          </w:p>
        </w:tc>
      </w:tr>
      <w:tr>
        <w:trPr>
          <w:trHeight w:val="20"/>
        </w:trPr>
        <w:tc>
          <w:tcPr>
            <w:tcW w:w="13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3880" w:type="dxa"/>
            <w:vAlign w:val="bottom"/>
            <w:tcBorders>
              <w:right w:val="single" w:sz="8" w:color="0000FF"/>
            </w:tcBorders>
            <w:gridSpan w:val="10"/>
            <w:shd w:val="clear" w:color="auto" w:fill="0000FF"/>
          </w:tcPr>
          <w:p>
            <w:pPr>
              <w:spacing w:after="0" w:line="20" w:lineRule="exact"/>
              <w:rPr>
                <w:sz w:val="1"/>
                <w:szCs w:val="1"/>
                <w:color w:val="auto"/>
              </w:rPr>
            </w:pPr>
          </w:p>
        </w:tc>
        <w:tc>
          <w:tcPr>
            <w:tcW w:w="3340" w:type="dxa"/>
            <w:vAlign w:val="bottom"/>
            <w:tcBorders>
              <w:right w:val="single" w:sz="8" w:color="0000EE"/>
            </w:tcBorders>
            <w:gridSpan w:val="8"/>
            <w:shd w:val="clear" w:color="auto" w:fill="0000FF"/>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10.47</w:t>
            </w:r>
          </w:p>
        </w:tc>
        <w:tc>
          <w:tcPr>
            <w:tcW w:w="95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Voting and Support Agreement, dated January 22, 2025 by and between Banzai International, Inc and Joseph Davy (incorporated by</w:t>
              </w:r>
            </w:hyperlink>
          </w:p>
        </w:tc>
        <w:tc>
          <w:tcPr>
            <w:tcW w:w="28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reference to the Current Report on Form 8-K filed on January 23, 2025).</w:t>
              </w:r>
            </w:hyperlink>
          </w:p>
        </w:tc>
      </w:tr>
      <w:tr>
        <w:trPr>
          <w:trHeight w:val="20"/>
        </w:trPr>
        <w:tc>
          <w:tcPr>
            <w:tcW w:w="13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3880" w:type="dxa"/>
            <w:vAlign w:val="bottom"/>
            <w:tcBorders>
              <w:right w:val="single" w:sz="8" w:color="0000EE"/>
            </w:tcBorders>
            <w:gridSpan w:val="10"/>
            <w:shd w:val="clear" w:color="auto" w:fill="0000FF"/>
          </w:tcPr>
          <w:p>
            <w:pPr>
              <w:spacing w:after="0" w:line="20" w:lineRule="exact"/>
              <w:rPr>
                <w:sz w:val="1"/>
                <w:szCs w:val="1"/>
                <w:color w:val="auto"/>
              </w:rPr>
            </w:pPr>
          </w:p>
        </w:tc>
        <w:tc>
          <w:tcPr>
            <w:tcW w:w="4620" w:type="dxa"/>
            <w:vAlign w:val="bottom"/>
            <w:gridSpan w:val="28"/>
          </w:tcPr>
          <w:p>
            <w:pPr>
              <w:spacing w:after="0" w:line="20" w:lineRule="exact"/>
              <w:rPr>
                <w:sz w:val="1"/>
                <w:szCs w:val="1"/>
                <w:color w:val="auto"/>
              </w:rPr>
            </w:pPr>
          </w:p>
        </w:tc>
      </w:tr>
      <w:tr>
        <w:trPr>
          <w:trHeight w:val="196"/>
        </w:trPr>
        <w:tc>
          <w:tcPr>
            <w:tcW w:w="138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8"/>
              </w:rPr>
              <w:t>10.48</w:t>
            </w:r>
          </w:p>
        </w:tc>
        <w:tc>
          <w:tcPr>
            <w:tcW w:w="982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Share Consideration Escrow Agreement (incorporated by reference to Exhibit 10.4 to the Current Report on Form 8-K filed on</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41"/>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January 23, 2025).</w:t>
              </w:r>
            </w:hyperlink>
          </w:p>
        </w:tc>
      </w:tr>
      <w:tr>
        <w:trPr>
          <w:trHeight w:val="453"/>
        </w:trPr>
        <w:tc>
          <w:tcPr>
            <w:tcW w:w="1380" w:type="dxa"/>
            <w:vAlign w:val="bottom"/>
          </w:tcPr>
          <w:p>
            <w:pPr>
              <w:spacing w:after="0"/>
              <w:rPr>
                <w:sz w:val="24"/>
                <w:szCs w:val="24"/>
                <w:color w:val="auto"/>
              </w:rPr>
            </w:pPr>
          </w:p>
        </w:tc>
        <w:tc>
          <w:tcPr>
            <w:tcW w:w="1360" w:type="dxa"/>
            <w:vAlign w:val="bottom"/>
            <w:tcBorders>
              <w:top w:val="single" w:sz="8" w:color="0000FF"/>
            </w:tcBorders>
            <w:gridSpan w:val="3"/>
          </w:tcPr>
          <w:p>
            <w:pPr>
              <w:spacing w:after="0"/>
              <w:rPr>
                <w:sz w:val="24"/>
                <w:szCs w:val="24"/>
                <w:color w:val="auto"/>
              </w:rPr>
            </w:pPr>
          </w:p>
        </w:tc>
        <w:tc>
          <w:tcPr>
            <w:tcW w:w="3380" w:type="dxa"/>
            <w:vAlign w:val="bottom"/>
            <w:gridSpan w:val="9"/>
          </w:tcPr>
          <w:p>
            <w:pPr>
              <w:jc w:val="right"/>
              <w:ind w:right="400"/>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9820" w:type="dxa"/>
            <w:vAlign w:val="bottom"/>
            <w:gridSpan w:val="22"/>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Registration Rights Agreement (incorporated by reference to Exhibit 10.5 to the Current Report on Form 8-K filed on January</w:t>
              </w:r>
            </w:hyperlink>
          </w:p>
        </w:tc>
      </w:tr>
      <w:tr>
        <w:trPr>
          <w:trHeight w:val="196"/>
        </w:trPr>
        <w:tc>
          <w:tcPr>
            <w:tcW w:w="1360" w:type="dxa"/>
            <w:vAlign w:val="bottom"/>
          </w:tcPr>
          <w:p>
            <w:pPr>
              <w:spacing w:after="0"/>
              <w:rPr>
                <w:sz w:val="17"/>
                <w:szCs w:val="17"/>
                <w:color w:val="auto"/>
              </w:rPr>
            </w:pPr>
          </w:p>
        </w:tc>
        <w:tc>
          <w:tcPr>
            <w:tcW w:w="74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243">
              <w:r>
                <w:rPr>
                  <w:rFonts w:ascii="Times New Roman" w:cs="Times New Roman" w:eastAsia="Times New Roman" w:hAnsi="Times New Roman"/>
                  <w:sz w:val="18"/>
                  <w:szCs w:val="18"/>
                  <w:color w:val="0000FF"/>
                  <w:w w:val="97"/>
                </w:rPr>
                <w:t>23, 2025).</w:t>
              </w:r>
            </w:hyperlink>
          </w:p>
        </w:tc>
        <w:tc>
          <w:tcPr>
            <w:tcW w:w="20" w:type="dxa"/>
            <w:vAlign w:val="bottom"/>
            <w:tcBorders>
              <w:top w:val="single" w:sz="8" w:color="0000FF"/>
              <w:bottom w:val="single" w:sz="8" w:color="0000EE"/>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97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Voting and Support Agreement, dated December 10, 2024, by and between Joseph P. Davy and Banzai International Inc. (incorporated</w:t>
              </w:r>
            </w:hyperlink>
          </w:p>
        </w:tc>
        <w:tc>
          <w:tcPr>
            <w:tcW w:w="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by reference to Exhibit 10.3 to the Current Report on Form 8-K filed on December 10, 2024).</w:t>
              </w:r>
            </w:hyperlink>
          </w:p>
        </w:tc>
      </w:tr>
      <w:tr>
        <w:trPr>
          <w:trHeight w:val="20"/>
        </w:trPr>
        <w:tc>
          <w:tcPr>
            <w:tcW w:w="13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Lock-Up Agreement (incorporated by reference to exhibit 10.1 to the Current Report on Form 8-K filed on December 20,</w:t>
              </w:r>
            </w:hyperlink>
          </w:p>
        </w:tc>
      </w:tr>
      <w:tr>
        <w:trPr>
          <w:trHeight w:val="196"/>
        </w:trPr>
        <w:tc>
          <w:tcPr>
            <w:tcW w:w="13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45">
              <w:r>
                <w:rPr>
                  <w:rFonts w:ascii="Times New Roman" w:cs="Times New Roman" w:eastAsia="Times New Roman" w:hAnsi="Times New Roman"/>
                  <w:sz w:val="18"/>
                  <w:szCs w:val="18"/>
                  <w:color w:val="0000FF"/>
                  <w:w w:val="94"/>
                </w:rPr>
                <w:t>2024).</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10.52</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Form of Pre-Funded Warrant (incorporated by reference to exhibit 10.2 to the Current Report on Form 8-K filed on December 20,</w:t>
              </w:r>
            </w:hyperlink>
          </w:p>
        </w:tc>
      </w:tr>
      <w:tr>
        <w:trPr>
          <w:trHeight w:val="196"/>
        </w:trPr>
        <w:tc>
          <w:tcPr>
            <w:tcW w:w="13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46">
              <w:r>
                <w:rPr>
                  <w:rFonts w:ascii="Times New Roman" w:cs="Times New Roman" w:eastAsia="Times New Roman" w:hAnsi="Times New Roman"/>
                  <w:sz w:val="18"/>
                  <w:szCs w:val="18"/>
                  <w:color w:val="0000FF"/>
                  <w:w w:val="94"/>
                </w:rPr>
                <w:t>2024).</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98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Voting and Support Agreement, dated December 19, 2024, by and between Banzai International Inc., and Joseph P. Davy (incorporated</w:t>
              </w:r>
            </w:hyperlink>
          </w:p>
        </w:tc>
      </w:tr>
      <w:tr>
        <w:trPr>
          <w:trHeight w:val="196"/>
        </w:trPr>
        <w:tc>
          <w:tcPr>
            <w:tcW w:w="1360" w:type="dxa"/>
            <w:vAlign w:val="bottom"/>
          </w:tcPr>
          <w:p>
            <w:pPr>
              <w:spacing w:after="0"/>
              <w:rPr>
                <w:sz w:val="17"/>
                <w:szCs w:val="17"/>
                <w:color w:val="auto"/>
              </w:rPr>
            </w:pPr>
          </w:p>
        </w:tc>
        <w:tc>
          <w:tcPr>
            <w:tcW w:w="67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by reference to exhibit 10.3 to the Current Report on Form 8-K filed on December 20, 2024).</w:t>
              </w:r>
            </w:hyperlink>
          </w:p>
        </w:tc>
        <w:tc>
          <w:tcPr>
            <w:tcW w:w="3080" w:type="dxa"/>
            <w:vAlign w:val="bottom"/>
            <w:gridSpan w:val="1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10.54</w:t>
            </w:r>
          </w:p>
        </w:tc>
        <w:tc>
          <w:tcPr>
            <w:tcW w:w="97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Closing Letter Agreement, dated January 24, 2025, by and among Banzai International, Inc., Vidello Limited and certain shareholders</w:t>
              </w:r>
            </w:hyperlink>
          </w:p>
        </w:tc>
        <w:tc>
          <w:tcPr>
            <w:tcW w:w="12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of Vidello Limited (incorporated by reference to exhibit 10.3 to the Current Report on Form 8-K filed on January 31, 2025).</w:t>
              </w:r>
            </w:hyperlink>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894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Banzai International, Inc. Insider Trading Policy.</w:t>
            </w:r>
          </w:p>
        </w:tc>
        <w:tc>
          <w:tcPr>
            <w:tcW w:w="880" w:type="dxa"/>
            <w:vAlign w:val="bottom"/>
            <w:gridSpan w:val="1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354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w:t>
            </w:r>
          </w:p>
        </w:tc>
        <w:tc>
          <w:tcPr>
            <w:tcW w:w="6280" w:type="dxa"/>
            <w:vAlign w:val="bottom"/>
            <w:gridSpan w:val="14"/>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40" w:type="dxa"/>
            <w:vAlign w:val="bottom"/>
            <w:tcBorders>
              <w:right w:val="single" w:sz="8" w:color="0000EE"/>
            </w:tcBorders>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9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Marcum, LLP.</w:t>
            </w:r>
          </w:p>
        </w:tc>
        <w:tc>
          <w:tcPr>
            <w:tcW w:w="20" w:type="dxa"/>
            <w:vAlign w:val="bottom"/>
            <w:tcBorders>
              <w:bottom w:val="single" w:sz="8" w:color="0000EE"/>
            </w:tcBorders>
          </w:tcPr>
          <w:p>
            <w:pPr>
              <w:spacing w:after="0"/>
              <w:rPr>
                <w:sz w:val="17"/>
                <w:szCs w:val="17"/>
                <w:color w:val="auto"/>
              </w:rPr>
            </w:pPr>
          </w:p>
        </w:tc>
        <w:tc>
          <w:tcPr>
            <w:tcW w:w="7900" w:type="dxa"/>
            <w:vAlign w:val="bottom"/>
            <w:gridSpan w:val="1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16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1440" w:type="dxa"/>
            <w:vAlign w:val="bottom"/>
            <w:tcBorders>
              <w:right w:val="single" w:sz="8" w:color="0000FF"/>
            </w:tcBorders>
            <w:gridSpan w:val="5"/>
            <w:shd w:val="clear" w:color="auto" w:fill="0000FF"/>
          </w:tcPr>
          <w:p>
            <w:pPr>
              <w:spacing w:after="0" w:line="20" w:lineRule="exact"/>
              <w:rPr>
                <w:sz w:val="1"/>
                <w:szCs w:val="1"/>
                <w:color w:val="auto"/>
              </w:rPr>
            </w:pPr>
          </w:p>
        </w:tc>
        <w:tc>
          <w:tcPr>
            <w:tcW w:w="3560" w:type="dxa"/>
            <w:vAlign w:val="bottom"/>
            <w:tcBorders>
              <w:right w:val="single" w:sz="8" w:color="0000EE"/>
            </w:tcBorders>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18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1440" w:type="dxa"/>
            <w:vAlign w:val="bottom"/>
            <w:tcBorders>
              <w:right w:val="single" w:sz="8" w:color="0000FF"/>
            </w:tcBorders>
            <w:gridSpan w:val="5"/>
            <w:shd w:val="clear" w:color="auto" w:fill="0000FF"/>
          </w:tcPr>
          <w:p>
            <w:pPr>
              <w:spacing w:after="0" w:line="20" w:lineRule="exact"/>
              <w:rPr>
                <w:sz w:val="1"/>
                <w:szCs w:val="1"/>
                <w:color w:val="auto"/>
              </w:rPr>
            </w:pPr>
          </w:p>
        </w:tc>
        <w:tc>
          <w:tcPr>
            <w:tcW w:w="3560" w:type="dxa"/>
            <w:vAlign w:val="bottom"/>
            <w:tcBorders>
              <w:right w:val="single" w:sz="8" w:color="0000EE"/>
            </w:tcBorders>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380" w:type="dxa"/>
            <w:vAlign w:val="bottom"/>
            <w:gridSpan w:val="1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4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120" w:type="dxa"/>
            <w:vAlign w:val="bottom"/>
            <w:tcBorders>
              <w:top w:val="single" w:sz="8" w:color="0000FF"/>
            </w:tcBorders>
            <w:gridSpan w:val="10"/>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5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Banzai International, Inc. Policy on Recoupment of Incentive Compensation.</w:t>
            </w:r>
          </w:p>
        </w:tc>
        <w:tc>
          <w:tcPr>
            <w:tcW w:w="4260" w:type="dxa"/>
            <w:vAlign w:val="bottom"/>
            <w:gridSpan w:val="12"/>
          </w:tcPr>
          <w:p>
            <w:pPr>
              <w:spacing w:after="0"/>
              <w:rPr>
                <w:sz w:val="17"/>
                <w:szCs w:val="17"/>
                <w:color w:val="auto"/>
              </w:rPr>
            </w:pP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16"/>
        </w:trPr>
        <w:tc>
          <w:tcPr>
            <w:tcW w:w="1360" w:type="dxa"/>
            <w:vAlign w:val="bottom"/>
          </w:tcPr>
          <w:p>
            <w:pPr>
              <w:spacing w:after="0"/>
              <w:rPr>
                <w:sz w:val="18"/>
                <w:szCs w:val="18"/>
                <w:color w:val="auto"/>
              </w:rPr>
            </w:pPr>
          </w:p>
        </w:tc>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680" w:hanging="568"/>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80" w:hanging="568"/>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680" w:right="220" w:hanging="568"/>
        <w:spacing w:after="0" w:line="250"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 schedule and/or exhibit will be furnished to the SEC upon request.</w:t>
      </w:r>
    </w:p>
    <w:p>
      <w:pPr>
        <w:spacing w:after="0" w:line="1" w:lineRule="exact"/>
        <w:rPr>
          <w:sz w:val="20"/>
          <w:szCs w:val="20"/>
          <w:color w:val="auto"/>
        </w:rPr>
      </w:pPr>
    </w:p>
    <w:p>
      <w:pPr>
        <w:ind w:left="680" w:hanging="568"/>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0" w:right="37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25"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April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47"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Davy</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April 15, 2025</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Joseph Davy</w:t>
            </w:r>
          </w:p>
        </w:tc>
        <w:tc>
          <w:tcPr>
            <w:tcW w:w="4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(Principle Executive Officer)</w:t>
            </w:r>
          </w:p>
        </w:tc>
        <w:tc>
          <w:tcPr>
            <w:tcW w:w="174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Alvin Yip</w:t>
            </w:r>
          </w:p>
        </w:tc>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7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April 15, 2025</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Alvin Yip</w:t>
            </w:r>
          </w:p>
        </w:tc>
        <w:tc>
          <w:tcPr>
            <w:tcW w:w="4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174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Paula Boggs</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April 15, 2025</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Paula Boggs</w:t>
            </w:r>
          </w:p>
        </w:tc>
        <w:tc>
          <w:tcPr>
            <w:tcW w:w="44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Jack Leeney</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April 15, 2025</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 Leeney</w:t>
            </w:r>
          </w:p>
        </w:tc>
        <w:tc>
          <w:tcPr>
            <w:tcW w:w="446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Mason Ward</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April 15, 2025</w:t>
            </w: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Mason Ward</w:t>
            </w:r>
          </w:p>
        </w:tc>
        <w:tc>
          <w:tcPr>
            <w:tcW w:w="4460" w:type="dxa"/>
            <w:vAlign w:val="bottom"/>
          </w:tcPr>
          <w:p>
            <w:pPr>
              <w:spacing w:after="0"/>
              <w:rPr>
                <w:sz w:val="15"/>
                <w:szCs w:val="15"/>
                <w:color w:val="auto"/>
              </w:rPr>
            </w:pPr>
          </w:p>
        </w:tc>
        <w:tc>
          <w:tcPr>
            <w:tcW w:w="17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tbl>
      <w:tblPr>
        <w:tblLayout w:type="fixed"/>
        <w:tblInd w:w="10" w:type="dxa"/>
        <w:tblCellMar>
          <w:top w:w="0" w:type="dxa"/>
          <w:left w:w="0" w:type="dxa"/>
          <w:bottom w:w="0" w:type="dxa"/>
          <w:right w:w="0" w:type="dxa"/>
        </w:tblCellMar>
      </w:tblPr>
      <w:tr>
        <w:trPr>
          <w:trHeight w:val="238"/>
        </w:trPr>
        <w:tc>
          <w:tcPr>
            <w:tcW w:w="9480" w:type="dxa"/>
            <w:vAlign w:val="bottom"/>
            <w:gridSpan w:val="7"/>
          </w:tcPr>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60" w:type="dxa"/>
            <w:vAlign w:val="bottom"/>
          </w:tcPr>
          <w:p>
            <w:pPr>
              <w:spacing w:after="0"/>
              <w:rPr>
                <w:sz w:val="20"/>
                <w:szCs w:val="20"/>
                <w:color w:val="auto"/>
              </w:rPr>
            </w:pPr>
          </w:p>
        </w:tc>
      </w:tr>
      <w:tr>
        <w:trPr>
          <w:trHeight w:val="432"/>
        </w:trPr>
        <w:tc>
          <w:tcPr>
            <w:tcW w:w="9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688)</w:t>
            </w:r>
          </w:p>
        </w:tc>
        <w:tc>
          <w:tcPr>
            <w:tcW w:w="176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5600" w:type="dxa"/>
            <w:vAlign w:val="bottom"/>
            <w:tcBorders>
              <w:top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3880" w:type="dxa"/>
            <w:vAlign w:val="bottom"/>
            <w:gridSpan w:val="4"/>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440" w:type="dxa"/>
            <w:vAlign w:val="bottom"/>
            <w:tcBorders>
              <w:left w:val="single" w:sz="8" w:color="0000EE"/>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48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3440" w:type="dxa"/>
            <w:vAlign w:val="bottom"/>
            <w:tcBorders>
              <w:left w:val="single" w:sz="8" w:color="0000EE"/>
            </w:tcBorders>
            <w:shd w:val="clear" w:color="auto" w:fill="0000FF"/>
          </w:tcPr>
          <w:p>
            <w:pPr>
              <w:spacing w:after="0" w:line="20" w:lineRule="exact"/>
              <w:rPr>
                <w:sz w:val="1"/>
                <w:szCs w:val="1"/>
                <w:color w:val="auto"/>
              </w:rPr>
            </w:pPr>
          </w:p>
        </w:tc>
        <w:tc>
          <w:tcPr>
            <w:tcW w:w="30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48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2024 and 2023</w:t>
            </w: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6520" w:type="dxa"/>
            <w:vAlign w:val="bottom"/>
            <w:tcBorders>
              <w:top w:val="single" w:sz="8" w:color="0000FF"/>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and 2023</w:t>
            </w:r>
          </w:p>
        </w:tc>
        <w:tc>
          <w:tcPr>
            <w:tcW w:w="1340" w:type="dxa"/>
            <w:vAlign w:val="bottom"/>
            <w:tcBorders>
              <w:top w:val="single" w:sz="8" w:color="0000FF"/>
            </w:tcBorders>
          </w:tcPr>
          <w:p>
            <w:pPr>
              <w:spacing w:after="0"/>
              <w:rPr>
                <w:sz w:val="17"/>
                <w:szCs w:val="17"/>
                <w:color w:val="auto"/>
              </w:rPr>
            </w:pPr>
          </w:p>
        </w:tc>
        <w:tc>
          <w:tcPr>
            <w:tcW w:w="1620" w:type="dxa"/>
            <w:vAlign w:val="bottom"/>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44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040" w:type="dxa"/>
            <w:vAlign w:val="bottom"/>
            <w:gridSpan w:val="6"/>
          </w:tcPr>
          <w:p>
            <w:pPr>
              <w:spacing w:after="0"/>
              <w:rPr>
                <w:sz w:val="17"/>
                <w:szCs w:val="17"/>
                <w:color w:val="auto"/>
              </w:rPr>
            </w:pPr>
          </w:p>
        </w:tc>
        <w:tc>
          <w:tcPr>
            <w:tcW w:w="1760" w:type="dxa"/>
            <w:vAlign w:val="bottom"/>
          </w:tcPr>
          <w:p>
            <w:pPr>
              <w:ind w:left="150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668"/>
        </w:trPr>
        <w:tc>
          <w:tcPr>
            <w:tcW w:w="6480" w:type="dxa"/>
            <w:vAlign w:val="bottom"/>
            <w:gridSpan w:val="4"/>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Banzai International, Inc. (the “Company”) as of December 31, 2024 and 2023, the related consolidated statements of operations,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each of the two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Marlton, NJ 08053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73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2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1,087,497</w:t>
            </w:r>
          </w:p>
        </w:tc>
        <w:tc>
          <w:tcPr>
            <w:tcW w:w="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2,093,718</w:t>
            </w: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$24,210 and $5,748, respectively</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936,321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105,049</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643,674</w:t>
            </w:r>
          </w:p>
        </w:tc>
        <w:tc>
          <w:tcPr>
            <w:tcW w:w="1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741,155</w:t>
            </w:r>
          </w:p>
        </w:tc>
        <w:tc>
          <w:tcPr>
            <w:tcW w:w="0" w:type="dxa"/>
            <w:vAlign w:val="bottom"/>
          </w:tcPr>
          <w:p>
            <w:pPr>
              <w:spacing w:after="0"/>
              <w:rPr>
                <w:sz w:val="1"/>
                <w:szCs w:val="1"/>
                <w:color w:val="auto"/>
              </w:rPr>
            </w:pPr>
          </w:p>
        </w:tc>
      </w:tr>
      <w:tr>
        <w:trPr>
          <w:trHeight w:val="142"/>
        </w:trPr>
        <w:tc>
          <w:tcPr>
            <w:tcW w:w="73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Pr>
          <w:p>
            <w:pPr>
              <w:spacing w:after="0"/>
              <w:rPr>
                <w:sz w:val="12"/>
                <w:szCs w:val="12"/>
                <w:color w:val="auto"/>
              </w:rPr>
            </w:pPr>
          </w:p>
        </w:tc>
        <w:tc>
          <w:tcPr>
            <w:tcW w:w="1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2,667,492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2,939,922</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3,539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4,644</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3,883,853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18,972,475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2,171,526</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72,565</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134,013</w:t>
            </w: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Bifurcated embedded derivative asset - related party</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11,154</w:t>
            </w:r>
          </w:p>
        </w:tc>
        <w:tc>
          <w:tcPr>
            <w:tcW w:w="1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38,381</w:t>
            </w:r>
          </w:p>
        </w:tc>
        <w:tc>
          <w:tcPr>
            <w:tcW w:w="0" w:type="dxa"/>
            <w:vAlign w:val="bottom"/>
          </w:tcPr>
          <w:p>
            <w:pPr>
              <w:spacing w:after="0"/>
              <w:rPr>
                <w:sz w:val="1"/>
                <w:szCs w:val="1"/>
                <w:color w:val="auto"/>
              </w:rPr>
            </w:pPr>
          </w:p>
        </w:tc>
      </w:tr>
      <w:tr>
        <w:trPr>
          <w:trHeight w:val="142"/>
        </w:trPr>
        <w:tc>
          <w:tcPr>
            <w:tcW w:w="73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25,674,078</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5,288,486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7,782,746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6,439,863</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3,891,018</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5,194,240</w:t>
            </w: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Convertible notes (Yorkville)</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1,766,000</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Convertible notes - related party</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8,639,701</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5,233,932</w:t>
            </w:r>
          </w:p>
        </w:tc>
        <w:tc>
          <w:tcPr>
            <w:tcW w:w="0" w:type="dxa"/>
            <w:vAlign w:val="bottom"/>
          </w:tcPr>
          <w:p>
            <w:pPr>
              <w:spacing w:after="0"/>
              <w:rPr>
                <w:sz w:val="1"/>
                <w:szCs w:val="1"/>
                <w:color w:val="auto"/>
              </w:rPr>
            </w:pPr>
          </w:p>
        </w:tc>
      </w:tr>
      <w:tr>
        <w:trPr>
          <w:trHeight w:val="149"/>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215,057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Notes payable - related party, net of discount</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9,164,924</w:t>
            </w: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Notes payable, carried at fair value</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3,575,000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underwriting fees</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4,000,000</w:t>
            </w: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fee</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641,000</w:t>
            </w: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Warrant liability - related party</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Earnout liability</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14,850</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59,399</w:t>
            </w:r>
          </w:p>
        </w:tc>
        <w:tc>
          <w:tcPr>
            <w:tcW w:w="0" w:type="dxa"/>
            <w:vAlign w:val="bottom"/>
          </w:tcPr>
          <w:p>
            <w:pPr>
              <w:spacing w:after="0"/>
              <w:rPr>
                <w:sz w:val="1"/>
                <w:szCs w:val="1"/>
                <w:color w:val="auto"/>
              </w:rPr>
            </w:pPr>
          </w:p>
        </w:tc>
      </w:tr>
      <w:tr>
        <w:trPr>
          <w:trHeight w:val="148"/>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167,118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67,118</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GEM commitment fee liability</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49"/>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3,934,627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1,214,096</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20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22,731</w:t>
            </w:r>
          </w:p>
        </w:tc>
        <w:tc>
          <w:tcPr>
            <w:tcW w:w="1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234,043</w:t>
            </w:r>
          </w:p>
        </w:tc>
        <w:tc>
          <w:tcPr>
            <w:tcW w:w="0" w:type="dxa"/>
            <w:vAlign w:val="bottom"/>
          </w:tcPr>
          <w:p>
            <w:pPr>
              <w:spacing w:after="0"/>
              <w:rPr>
                <w:sz w:val="1"/>
                <w:szCs w:val="1"/>
                <w:color w:val="auto"/>
              </w:rPr>
            </w:pPr>
          </w:p>
        </w:tc>
      </w:tr>
      <w:tr>
        <w:trPr>
          <w:trHeight w:val="142"/>
        </w:trPr>
        <w:tc>
          <w:tcPr>
            <w:tcW w:w="73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2"/>
                <w:szCs w:val="12"/>
                <w:color w:val="auto"/>
              </w:rPr>
            </w:pPr>
          </w:p>
        </w:tc>
        <w:tc>
          <w:tcPr>
            <w:tcW w:w="1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28,260,148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37,089,615</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 - long-term</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117,643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10,115</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20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49,974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42"/>
        </w:trPr>
        <w:tc>
          <w:tcPr>
            <w:tcW w:w="73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28,437,880</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37,164,615</w:t>
            </w:r>
          </w:p>
        </w:tc>
        <w:tc>
          <w:tcPr>
            <w:tcW w:w="0" w:type="dxa"/>
            <w:vAlign w:val="bottom"/>
          </w:tcPr>
          <w:p>
            <w:pPr>
              <w:spacing w:after="0"/>
              <w:rPr>
                <w:sz w:val="1"/>
                <w:szCs w:val="1"/>
                <w:color w:val="auto"/>
              </w:rPr>
            </w:pPr>
          </w:p>
        </w:tc>
      </w:tr>
      <w:tr>
        <w:trPr>
          <w:trHeight w:val="142"/>
        </w:trPr>
        <w:tc>
          <w:tcPr>
            <w:tcW w:w="7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17)</w:t>
            </w: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$0.0001 par value, 275,000,000 (250,000,000 Class A and 25,000,000 Class B) shares authorized and</w:t>
            </w:r>
          </w:p>
        </w:tc>
        <w:tc>
          <w:tcPr>
            <w:tcW w:w="200" w:type="dxa"/>
            <w:vAlign w:val="bottom"/>
            <w:shd w:val="clear" w:color="auto" w:fill="CFF0FC"/>
          </w:tcPr>
          <w:p>
            <w:pPr>
              <w:spacing w:after="0"/>
              <w:rPr>
                <w:sz w:val="10"/>
                <w:szCs w:val="10"/>
                <w:color w:val="auto"/>
              </w:rPr>
            </w:pPr>
          </w:p>
        </w:tc>
        <w:tc>
          <w:tcPr>
            <w:tcW w:w="1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8,195,163 (5,884,029 Class A and 2,311,134 Class B) and 2,585,297 (274,163 Class A and 2,311,134 Class B) issued and</w:t>
            </w:r>
          </w:p>
        </w:tc>
        <w:tc>
          <w:tcPr>
            <w:tcW w:w="200" w:type="dxa"/>
            <w:vAlign w:val="bottom"/>
            <w:shd w:val="clear" w:color="auto" w:fill="CFF0FC"/>
          </w:tcPr>
          <w:p>
            <w:pPr>
              <w:spacing w:after="0"/>
              <w:rPr>
                <w:sz w:val="12"/>
                <w:szCs w:val="12"/>
                <w:color w:val="auto"/>
              </w:rPr>
            </w:pPr>
          </w:p>
        </w:tc>
        <w:tc>
          <w:tcPr>
            <w:tcW w:w="1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71"/>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 and December 31, 2023, respectively</w:t>
            </w:r>
          </w:p>
        </w:tc>
        <w:tc>
          <w:tcPr>
            <w:tcW w:w="200" w:type="dxa"/>
            <w:vAlign w:val="bottom"/>
            <w:shd w:val="clear" w:color="auto" w:fill="CFF0FC"/>
          </w:tcPr>
          <w:p>
            <w:pPr>
              <w:spacing w:after="0"/>
              <w:rPr>
                <w:sz w:val="14"/>
                <w:szCs w:val="14"/>
                <w:color w:val="auto"/>
              </w:rPr>
            </w:pPr>
          </w:p>
        </w:tc>
        <w:tc>
          <w:tcPr>
            <w:tcW w:w="17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75,000,000 shares authorized, 1 and 0 shares issued and outstanding at December 31,</w:t>
            </w:r>
          </w:p>
        </w:tc>
        <w:tc>
          <w:tcPr>
            <w:tcW w:w="200" w:type="dxa"/>
            <w:vAlign w:val="bottom"/>
          </w:tcPr>
          <w:p>
            <w:pPr>
              <w:spacing w:after="0"/>
              <w:rPr>
                <w:sz w:val="10"/>
                <w:szCs w:val="10"/>
                <w:color w:val="auto"/>
              </w:rPr>
            </w:pPr>
          </w:p>
        </w:tc>
        <w:tc>
          <w:tcPr>
            <w:tcW w:w="1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and December 31, 2023</w:t>
            </w:r>
          </w:p>
        </w:tc>
        <w:tc>
          <w:tcPr>
            <w:tcW w:w="2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75,515,111</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14,889,936</w:t>
            </w:r>
          </w:p>
        </w:tc>
        <w:tc>
          <w:tcPr>
            <w:tcW w:w="0" w:type="dxa"/>
            <w:vAlign w:val="bottom"/>
          </w:tcPr>
          <w:p>
            <w:pPr>
              <w:spacing w:after="0"/>
              <w:rPr>
                <w:sz w:val="1"/>
                <w:szCs w:val="1"/>
                <w:color w:val="auto"/>
              </w:rPr>
            </w:pPr>
          </w:p>
        </w:tc>
      </w:tr>
      <w:tr>
        <w:trPr>
          <w:trHeight w:val="148"/>
        </w:trPr>
        <w:tc>
          <w:tcPr>
            <w:tcW w:w="7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(78,279,713 )</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(46,766,324 )</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Stockholders' equity (deficit)</w:t>
            </w:r>
          </w:p>
        </w:tc>
        <w:tc>
          <w:tcPr>
            <w:tcW w:w="20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(2,763,802 )</w:t>
            </w:r>
          </w:p>
        </w:tc>
        <w:tc>
          <w:tcPr>
            <w:tcW w:w="1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(31,876,129 )</w:t>
            </w:r>
          </w:p>
        </w:tc>
        <w:tc>
          <w:tcPr>
            <w:tcW w:w="0" w:type="dxa"/>
            <w:vAlign w:val="bottom"/>
          </w:tcPr>
          <w:p>
            <w:pPr>
              <w:spacing w:after="0"/>
              <w:rPr>
                <w:sz w:val="1"/>
                <w:szCs w:val="1"/>
                <w:color w:val="auto"/>
              </w:rPr>
            </w:pPr>
          </w:p>
        </w:tc>
      </w:tr>
      <w:tr>
        <w:trPr>
          <w:trHeight w:val="142"/>
        </w:trPr>
        <w:tc>
          <w:tcPr>
            <w:tcW w:w="732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2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25,674,078</w:t>
            </w:r>
          </w:p>
        </w:tc>
        <w:tc>
          <w:tcPr>
            <w:tcW w:w="3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5,288,486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-4636770</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-3874135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-1953895</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-1379220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-128270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99"/>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4,527,879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4,561,300</w:t>
            </w:r>
          </w:p>
        </w:tc>
      </w:tr>
      <w:tr>
        <w:trPr>
          <w:trHeight w:val="20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1,422,542</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1,444,618</w:t>
            </w:r>
          </w:p>
        </w:tc>
      </w:tr>
      <w:tr>
        <w:trPr>
          <w:trHeight w:val="196"/>
        </w:trPr>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3,105,337</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3,116,682</w:t>
            </w:r>
          </w:p>
        </w:tc>
      </w:tr>
      <w:tr>
        <w:trPr>
          <w:trHeight w:val="196"/>
        </w:trPr>
        <w:tc>
          <w:tcPr>
            <w:tcW w:w="7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16,548,902</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12,905,073</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24,179</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7,160</w:t>
            </w:r>
          </w:p>
        </w:tc>
      </w:tr>
      <w:tr>
        <w:trPr>
          <w:trHeight w:val="19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16,573,081</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12,912,233</w:t>
            </w:r>
          </w:p>
        </w:tc>
      </w:tr>
      <w:tr>
        <w:trPr>
          <w:trHeight w:val="196"/>
        </w:trPr>
        <w:tc>
          <w:tcPr>
            <w:tcW w:w="7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loss</w:t>
            </w:r>
          </w:p>
        </w:tc>
        <w:tc>
          <w:tcPr>
            <w:tcW w:w="3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(13,467,744 )</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(9,795,551 )</w:t>
            </w:r>
          </w:p>
        </w:tc>
      </w:tr>
      <w:tr>
        <w:trPr>
          <w:trHeight w:val="196"/>
        </w:trPr>
        <w:tc>
          <w:tcPr>
            <w:tcW w:w="7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expenses (income):</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SEPA commitment fee and deferred fee expense</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3,826,176</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GEM warrant expense</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2,448,000</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GEM commitment fee expense</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2,000,000</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GEM settlement fee expense</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200,000</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88,329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(62,985 )</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(813 )</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1,068,447</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expense - related party</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3,047,101</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4,486,027</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extinguishment of liabilities</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(680,762 )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debt issuance</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653,208</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extinguishment of term notes</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1,071,563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conversion and settlement of Alco promissory notes - related party</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4,808,882</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conversion and settlement of CP BF notes - related party</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6,529,402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(626,000 )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(1,807,000 )</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fair value of warrant liability - related party</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(572,700 )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115,000</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fair value of simple agreement for future equity</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(207,570 )</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fair value of simple agreement for future equity - related party</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(2,752,430 )</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fair value of bifurcated embedded derivative liabilities</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(1,404,863 )</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fair value of bifurcated embedded derivative liabilities - related party</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(51,000 )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(3,063,278 )</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693,000</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(34,000 )</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fair value of term notes</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88,588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fair value of convertible bridge notes</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(10,176 )</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Yorkville prepayment premium expense</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80,760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Goodwill impairment</w:t>
            </w:r>
          </w:p>
        </w:tc>
        <w:tc>
          <w:tcPr>
            <w:tcW w:w="3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2,725,460</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18,045,645</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4,610,711</w:t>
            </w:r>
          </w:p>
        </w:tc>
      </w:tr>
      <w:tr>
        <w:trPr>
          <w:trHeight w:val="19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(31,513,389 )</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(14,406,262 )</w:t>
            </w:r>
          </w:p>
        </w:tc>
      </w:tr>
      <w:tr>
        <w:trPr>
          <w:trHeight w:val="196"/>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(31,513,389 )</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(14,406,262 )</w:t>
            </w:r>
          </w:p>
        </w:tc>
      </w:tr>
      <w:tr>
        <w:trPr>
          <w:trHeight w:val="196"/>
        </w:trPr>
        <w:tc>
          <w:tcPr>
            <w:tcW w:w="7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Deemed dividend - Series A and Series B warrant modification (net of tax)</w:t>
            </w:r>
          </w:p>
        </w:tc>
        <w:tc>
          <w:tcPr>
            <w:tcW w:w="3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(418,360 )</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(31,095,029 )</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(14,406,262 )</w:t>
            </w:r>
          </w:p>
        </w:tc>
      </w:tr>
      <w:tr>
        <w:trPr>
          <w:trHeight w:val="183"/>
        </w:trPr>
        <w:tc>
          <w:tcPr>
            <w:tcW w:w="77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shareholders</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(6.97 )</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w:t>
            </w: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4,458,169</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2,401,988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-6343015</wp:posOffset>
            </wp:positionV>
            <wp:extent cx="1028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-5545455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-5271135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-1919605</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-1645285</wp:posOffset>
            </wp:positionV>
            <wp:extent cx="102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-1379220</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-1113790</wp:posOffset>
            </wp:positionV>
            <wp:extent cx="1028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-847725</wp:posOffset>
            </wp:positionV>
            <wp:extent cx="1028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-831215</wp:posOffset>
            </wp:positionV>
            <wp:extent cx="1028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028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1"/>
                <w:szCs w:val="11"/>
                <w:color w:val="auto"/>
              </w:rPr>
            </w:pPr>
          </w:p>
        </w:tc>
        <w:tc>
          <w:tcPr>
            <w:tcW w:w="1440" w:type="dxa"/>
            <w:vAlign w:val="bottom"/>
            <w:gridSpan w:val="4"/>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Series A Preferred Stock</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Series FE Preferred 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vMerge w:val="restart"/>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3100" w:type="dxa"/>
            <w:vAlign w:val="bottom"/>
          </w:tcPr>
          <w:p>
            <w:pPr>
              <w:spacing w:after="0"/>
              <w:rPr>
                <w:sz w:val="10"/>
                <w:szCs w:val="10"/>
                <w:color w:val="auto"/>
              </w:rPr>
            </w:pPr>
          </w:p>
        </w:tc>
        <w:tc>
          <w:tcPr>
            <w:tcW w:w="1440" w:type="dxa"/>
            <w:vAlign w:val="bottom"/>
            <w:tcBorders>
              <w:bottom w:val="single" w:sz="8" w:color="auto"/>
            </w:tcBorders>
            <w:gridSpan w:val="4"/>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126"/>
              <w:spacing w:after="0" w:line="124" w:lineRule="exact"/>
              <w:rPr>
                <w:sz w:val="20"/>
                <w:szCs w:val="20"/>
                <w:color w:val="auto"/>
              </w:rPr>
            </w:pPr>
            <w:r>
              <w:rPr>
                <w:rFonts w:ascii="Times New Roman" w:cs="Times New Roman" w:eastAsia="Times New Roman" w:hAnsi="Times New Roman"/>
                <w:sz w:val="11"/>
                <w:szCs w:val="11"/>
                <w:b w:val="1"/>
                <w:bCs w:val="1"/>
                <w:color w:val="auto"/>
                <w:w w:val="94"/>
              </w:rPr>
              <w:t>Paid-in-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106"/>
              <w:spacing w:after="0" w:line="124"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146"/>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540" w:type="dxa"/>
            <w:vAlign w:val="bottom"/>
            <w:tcBorders>
              <w:bottom w:val="single" w:sz="8" w:color="auto"/>
            </w:tcBorders>
          </w:tcPr>
          <w:p>
            <w:pPr>
              <w:ind w:left="20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86"/>
              <w:spacing w:after="0" w:line="115" w:lineRule="exact"/>
              <w:rPr>
                <w:sz w:val="20"/>
                <w:szCs w:val="20"/>
                <w:color w:val="auto"/>
              </w:rPr>
            </w:pPr>
            <w:r>
              <w:rPr>
                <w:rFonts w:ascii="Times New Roman" w:cs="Times New Roman" w:eastAsia="Times New Roman" w:hAnsi="Times New Roman"/>
                <w:sz w:val="11"/>
                <w:szCs w:val="11"/>
                <w:b w:val="1"/>
                <w:bCs w:val="1"/>
                <w:color w:val="auto"/>
              </w:rPr>
              <w:t>Share</w:t>
            </w:r>
          </w:p>
        </w:tc>
        <w:tc>
          <w:tcPr>
            <w:tcW w:w="1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6"/>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4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6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0"/>
                <w:szCs w:val="10"/>
                <w:color w:val="auto"/>
              </w:rPr>
            </w:pPr>
          </w:p>
        </w:tc>
        <w:tc>
          <w:tcPr>
            <w:tcW w:w="900" w:type="dxa"/>
            <w:vAlign w:val="bottom"/>
            <w:tcBorders>
              <w:bottom w:val="single" w:sz="8" w:color="auto"/>
            </w:tcBorders>
            <w:gridSpan w:val="2"/>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0" w:type="dxa"/>
            <w:vAlign w:val="bottom"/>
          </w:tcPr>
          <w:p>
            <w:pPr>
              <w:spacing w:after="0"/>
              <w:rPr>
                <w:sz w:val="1"/>
                <w:szCs w:val="1"/>
                <w:color w:val="auto"/>
              </w:rPr>
            </w:pPr>
          </w:p>
        </w:tc>
      </w:tr>
      <w:tr>
        <w:trPr>
          <w:trHeight w:val="115"/>
        </w:trPr>
        <w:tc>
          <w:tcPr>
            <w:tcW w:w="3640" w:type="dxa"/>
            <w:vAlign w:val="bottom"/>
            <w:gridSpan w:val="2"/>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28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3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3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2,393,824</w:t>
            </w:r>
          </w:p>
        </w:tc>
        <w:tc>
          <w:tcPr>
            <w:tcW w:w="20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239</w:t>
            </w:r>
          </w:p>
        </w:tc>
        <w:tc>
          <w:tcPr>
            <w:tcW w:w="2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8,245,765</w:t>
            </w: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(32,360,062 )</w:t>
            </w: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(24,114,058 )</w:t>
            </w:r>
          </w:p>
        </w:tc>
        <w:tc>
          <w:tcPr>
            <w:tcW w:w="0" w:type="dxa"/>
            <w:vAlign w:val="bottom"/>
          </w:tcPr>
          <w:p>
            <w:pPr>
              <w:spacing w:after="0"/>
              <w:rPr>
                <w:sz w:val="1"/>
                <w:szCs w:val="1"/>
                <w:color w:val="auto"/>
              </w:rPr>
            </w:pPr>
          </w:p>
        </w:tc>
      </w:tr>
      <w:tr>
        <w:trPr>
          <w:trHeight w:val="121"/>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Reverse recapitalization (Note 4)</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117,442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(17,858,572 )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(17,858,559 )</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simple agreement for future equity</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833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456,234</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456,234</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simple agreement for future equity - related party</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11,039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6,049,765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6,049,766</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convertible notes</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10,598</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3,346,231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3,346,232</w:t>
            </w:r>
          </w:p>
        </w:tc>
        <w:tc>
          <w:tcPr>
            <w:tcW w:w="0" w:type="dxa"/>
            <w:vAlign w:val="bottom"/>
          </w:tcPr>
          <w:p>
            <w:pPr>
              <w:spacing w:after="0"/>
              <w:rPr>
                <w:sz w:val="1"/>
                <w:szCs w:val="1"/>
                <w:color w:val="auto"/>
              </w:rPr>
            </w:pPr>
          </w:p>
        </w:tc>
      </w:tr>
      <w:tr>
        <w:trPr>
          <w:trHeight w:val="121"/>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convertible notes - related party</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22,929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7,271,366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7,271,368</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Modification of convertible notes payable - related party</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9,909</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9,909</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Yorkville for aggregate commitment fee</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3,287,999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3,288,000</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under share transfer agreement - related party</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2,498,965</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2,498,965</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Cantor fee shares</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22,279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(2 )</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Exercise of stock options</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353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30,761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30,761</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1,245,796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1,245,796</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Excise tax</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305,719</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305,719</w:t>
            </w:r>
          </w:p>
        </w:tc>
        <w:tc>
          <w:tcPr>
            <w:tcW w:w="0" w:type="dxa"/>
            <w:vAlign w:val="bottom"/>
          </w:tcPr>
          <w:p>
            <w:pPr>
              <w:spacing w:after="0"/>
              <w:rPr>
                <w:sz w:val="1"/>
                <w:szCs w:val="1"/>
                <w:color w:val="auto"/>
              </w:rPr>
            </w:pPr>
          </w:p>
        </w:tc>
      </w:tr>
      <w:tr>
        <w:trPr>
          <w:trHeight w:val="122"/>
        </w:trPr>
        <w:tc>
          <w:tcPr>
            <w:tcW w:w="31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(14,406,262 )</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(14,406,262 )</w:t>
            </w:r>
          </w:p>
        </w:tc>
        <w:tc>
          <w:tcPr>
            <w:tcW w:w="0" w:type="dxa"/>
            <w:vAlign w:val="bottom"/>
          </w:tcPr>
          <w:p>
            <w:pPr>
              <w:spacing w:after="0"/>
              <w:rPr>
                <w:sz w:val="1"/>
                <w:szCs w:val="1"/>
                <w:color w:val="auto"/>
              </w:rPr>
            </w:pPr>
          </w:p>
        </w:tc>
      </w:tr>
      <w:tr>
        <w:trPr>
          <w:trHeight w:val="115"/>
        </w:trPr>
        <w:tc>
          <w:tcPr>
            <w:tcW w:w="3640" w:type="dxa"/>
            <w:vAlign w:val="bottom"/>
            <w:gridSpan w:val="2"/>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28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2,585,297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259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14,889,936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(46,766,324 )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(31,876,129 )</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Effect of reverse stock split</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189,585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convertible notes - related party</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17,813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2,540,089</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2,540,091</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Yorkville for convertible notes</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454,157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4,129,955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4,130,000</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Yorkville for commitment fee</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14,201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499,999</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Yorkville for redemption premium</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115,799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115,800</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Roth for advisory fee</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38,794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578,829</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578,833</w:t>
            </w:r>
          </w:p>
        </w:tc>
        <w:tc>
          <w:tcPr>
            <w:tcW w:w="0" w:type="dxa"/>
            <w:vAlign w:val="bottom"/>
          </w:tcPr>
          <w:p>
            <w:pPr>
              <w:spacing w:after="0"/>
              <w:rPr>
                <w:sz w:val="1"/>
                <w:szCs w:val="1"/>
                <w:color w:val="auto"/>
              </w:rPr>
            </w:pPr>
          </w:p>
        </w:tc>
      </w:tr>
      <w:tr>
        <w:trPr>
          <w:trHeight w:val="121"/>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GEM</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190,001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784,924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784,943</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for marketing expense</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9,470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334,771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334,772</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Forfeiture of sponsor shares</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(2,000 )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and warrants, net of issuance costs</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104,556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6,257,358</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6,257,368</w:t>
            </w:r>
          </w:p>
        </w:tc>
        <w:tc>
          <w:tcPr>
            <w:tcW w:w="0" w:type="dxa"/>
            <w:vAlign w:val="bottom"/>
          </w:tcPr>
          <w:p>
            <w:pPr>
              <w:spacing w:after="0"/>
              <w:rPr>
                <w:sz w:val="1"/>
                <w:szCs w:val="1"/>
                <w:color w:val="auto"/>
              </w:rPr>
            </w:pPr>
          </w:p>
        </w:tc>
      </w:tr>
      <w:tr>
        <w:trPr>
          <w:trHeight w:val="108"/>
        </w:trPr>
        <w:tc>
          <w:tcPr>
            <w:tcW w:w="36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Incremental fair value of Series A and Series B warrant</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modification</w:t>
            </w: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418,360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418,360</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Deemed dividend - Series A and Series B warrant modification</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(418,360 )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(418,360 )</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for exercise of Pre-Funded warrants</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173,223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849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866</w:t>
            </w:r>
          </w:p>
        </w:tc>
        <w:tc>
          <w:tcPr>
            <w:tcW w:w="0" w:type="dxa"/>
            <w:vAlign w:val="bottom"/>
          </w:tcPr>
          <w:p>
            <w:pPr>
              <w:spacing w:after="0"/>
              <w:rPr>
                <w:sz w:val="1"/>
                <w:szCs w:val="1"/>
                <w:color w:val="auto"/>
              </w:rPr>
            </w:pPr>
          </w:p>
        </w:tc>
      </w:tr>
      <w:tr>
        <w:trPr>
          <w:trHeight w:val="108"/>
        </w:trPr>
        <w:tc>
          <w:tcPr>
            <w:tcW w:w="364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Shares, warrants and pre-funded warrants issued to CP BF on</w:t>
            </w: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modification of CP BF debt agreement</w:t>
            </w:r>
          </w:p>
        </w:tc>
        <w:tc>
          <w:tcPr>
            <w:tcW w:w="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330,849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1,286,970</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1,287,003</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Premium issued as part of CP BF debt modification</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4,079,225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4,079,225</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warrants to CP BF, net of issuance costs</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2,763,161</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2,763,161</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MZHCI for investor relations services</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94,798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94,800</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J.V.B for payment of outstanding debt</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29,077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114,997</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115,000</w:t>
            </w:r>
          </w:p>
        </w:tc>
        <w:tc>
          <w:tcPr>
            <w:tcW w:w="0" w:type="dxa"/>
            <w:vAlign w:val="bottom"/>
          </w:tcPr>
          <w:p>
            <w:pPr>
              <w:spacing w:after="0"/>
              <w:rPr>
                <w:sz w:val="1"/>
                <w:szCs w:val="1"/>
                <w:color w:val="auto"/>
              </w:rPr>
            </w:pPr>
          </w:p>
        </w:tc>
      </w:tr>
      <w:tr>
        <w:trPr>
          <w:trHeight w:val="108"/>
        </w:trPr>
        <w:tc>
          <w:tcPr>
            <w:tcW w:w="36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Shares, warrants and pre-funded warrants issued to Alco 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settlement of Alco promissory notes</w:t>
            </w: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282,420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8,866,592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8,866,620</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Derecognition of Cantor fee</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4,000,000</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4,000,000</w:t>
            </w:r>
          </w:p>
        </w:tc>
        <w:tc>
          <w:tcPr>
            <w:tcW w:w="0" w:type="dxa"/>
            <w:vAlign w:val="bottom"/>
          </w:tcPr>
          <w:p>
            <w:pPr>
              <w:spacing w:after="0"/>
              <w:rPr>
                <w:sz w:val="1"/>
                <w:szCs w:val="1"/>
                <w:color w:val="auto"/>
              </w:rPr>
            </w:pPr>
          </w:p>
        </w:tc>
      </w:tr>
      <w:tr>
        <w:trPr>
          <w:trHeight w:val="121"/>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Class A Shares issued for OpenReel acquisition</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930,558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1,526,022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1,526,115</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Pre-Funded Warrants issued for OpenReel acquisition</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19,300,805</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19,300,805</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Series FE Preferred Stock issued for OpenReel acquisition</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Exercise of RSUs to Board of Director members</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79,391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(8 )</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Hudson for consulting fee</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45,000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166,496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166,501</w:t>
            </w:r>
          </w:p>
        </w:tc>
        <w:tc>
          <w:tcPr>
            <w:tcW w:w="0" w:type="dxa"/>
            <w:vAlign w:val="bottom"/>
          </w:tcPr>
          <w:p>
            <w:pPr>
              <w:spacing w:after="0"/>
              <w:rPr>
                <w:sz w:val="1"/>
                <w:szCs w:val="1"/>
                <w:color w:val="auto"/>
              </w:rPr>
            </w:pPr>
          </w:p>
        </w:tc>
      </w:tr>
      <w:tr>
        <w:trPr>
          <w:trHeight w:val="121"/>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convertible notes - CP BF</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55,600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216,278</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216,284</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Perkins Coie LLP for payment of outstanding debt</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600,000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919,640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919,700</w:t>
            </w:r>
          </w:p>
        </w:tc>
        <w:tc>
          <w:tcPr>
            <w:tcW w:w="0" w:type="dxa"/>
            <w:vAlign w:val="bottom"/>
          </w:tcPr>
          <w:p>
            <w:pPr>
              <w:spacing w:after="0"/>
              <w:rPr>
                <w:sz w:val="1"/>
                <w:szCs w:val="1"/>
                <w:color w:val="auto"/>
              </w:rPr>
            </w:pPr>
          </w:p>
        </w:tc>
      </w:tr>
      <w:tr>
        <w:trPr>
          <w:trHeight w:val="121"/>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shares to Yorkville under the SEPA agreement</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550,000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55</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880,888</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880,943</w:t>
            </w:r>
          </w:p>
        </w:tc>
        <w:tc>
          <w:tcPr>
            <w:tcW w:w="0" w:type="dxa"/>
            <w:vAlign w:val="bottom"/>
          </w:tcPr>
          <w:p>
            <w:pPr>
              <w:spacing w:after="0"/>
              <w:rPr>
                <w:sz w:val="1"/>
                <w:szCs w:val="1"/>
                <w:color w:val="auto"/>
              </w:rPr>
            </w:pPr>
          </w:p>
        </w:tc>
      </w:tr>
      <w:tr>
        <w:trPr>
          <w:trHeight w:val="122"/>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for exercise of pre-funded warrants - HCW PIPE</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1,176,471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1,058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1,176</w:t>
            </w:r>
          </w:p>
        </w:tc>
        <w:tc>
          <w:tcPr>
            <w:tcW w:w="0" w:type="dxa"/>
            <w:vAlign w:val="bottom"/>
          </w:tcPr>
          <w:p>
            <w:pPr>
              <w:spacing w:after="0"/>
              <w:rPr>
                <w:sz w:val="1"/>
                <w:szCs w:val="1"/>
                <w:color w:val="auto"/>
              </w:rPr>
            </w:pPr>
          </w:p>
        </w:tc>
      </w:tr>
      <w:tr>
        <w:trPr>
          <w:trHeight w:val="122"/>
        </w:trPr>
        <w:tc>
          <w:tcPr>
            <w:tcW w:w="364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for exercise of pre-funded warrants - CP BF</w:t>
            </w:r>
          </w:p>
        </w:tc>
        <w:tc>
          <w:tcPr>
            <w:tcW w:w="2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304,700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21"/>
        </w:trPr>
        <w:tc>
          <w:tcPr>
            <w:tcW w:w="3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1,165,680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1,165,680</w:t>
            </w:r>
          </w:p>
        </w:tc>
        <w:tc>
          <w:tcPr>
            <w:tcW w:w="0" w:type="dxa"/>
            <w:vAlign w:val="bottom"/>
          </w:tcPr>
          <w:p>
            <w:pPr>
              <w:spacing w:after="0"/>
              <w:rPr>
                <w:sz w:val="1"/>
                <w:szCs w:val="1"/>
                <w:color w:val="auto"/>
              </w:rPr>
            </w:pPr>
          </w:p>
        </w:tc>
      </w:tr>
      <w:tr>
        <w:trPr>
          <w:trHeight w:val="122"/>
        </w:trPr>
        <w:tc>
          <w:tcPr>
            <w:tcW w:w="3100" w:type="dxa"/>
            <w:vAlign w:val="bottom"/>
            <w:tcBorders>
              <w:bottom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4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(31,513,389 )</w:t>
            </w: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(31,513,389 )</w:t>
            </w:r>
          </w:p>
        </w:tc>
        <w:tc>
          <w:tcPr>
            <w:tcW w:w="0" w:type="dxa"/>
            <w:vAlign w:val="bottom"/>
          </w:tcPr>
          <w:p>
            <w:pPr>
              <w:spacing w:after="0"/>
              <w:rPr>
                <w:sz w:val="1"/>
                <w:szCs w:val="1"/>
                <w:color w:val="auto"/>
              </w:rPr>
            </w:pPr>
          </w:p>
        </w:tc>
      </w:tr>
      <w:tr>
        <w:trPr>
          <w:trHeight w:val="115"/>
        </w:trPr>
        <w:tc>
          <w:tcPr>
            <w:tcW w:w="36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28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tcPr>
          <w:p>
            <w:pPr>
              <w:jc w:val="right"/>
              <w:ind w:right="3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gridSpan w:val="2"/>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1</w:t>
            </w:r>
          </w:p>
        </w:tc>
        <w:tc>
          <w:tcPr>
            <w:tcW w:w="620" w:type="dxa"/>
            <w:vAlign w:val="bottom"/>
            <w:gridSpan w:val="2"/>
          </w:tcPr>
          <w:p>
            <w:pPr>
              <w:jc w:val="right"/>
              <w:ind w:right="38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gridSpan w:val="2"/>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8,195,163</w:t>
            </w:r>
          </w:p>
        </w:tc>
        <w:tc>
          <w:tcPr>
            <w:tcW w:w="2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800</w:t>
            </w:r>
          </w:p>
        </w:tc>
        <w:tc>
          <w:tcPr>
            <w:tcW w:w="2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75,515,111</w:t>
            </w:r>
          </w:p>
        </w:tc>
        <w:tc>
          <w:tcPr>
            <w:tcW w:w="1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(78,279,713 )</w:t>
            </w:r>
          </w:p>
        </w:tc>
        <w:tc>
          <w:tcPr>
            <w:tcW w:w="2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(2,763,802 )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-110490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-110490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-110490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-110490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-110490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-110490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-110490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-110490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7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1000" w:type="dxa"/>
            <w:vAlign w:val="bottom"/>
            <w:tcBorders>
              <w:bottom w:val="single" w:sz="8" w:color="auto"/>
            </w:tcBorders>
          </w:tcPr>
          <w:p>
            <w:pPr>
              <w:spacing w:after="0"/>
              <w:rPr>
                <w:sz w:val="11"/>
                <w:szCs w:val="11"/>
                <w:color w:val="auto"/>
              </w:rPr>
            </w:pPr>
          </w:p>
        </w:tc>
      </w:tr>
      <w:tr>
        <w:trPr>
          <w:trHeight w:val="115"/>
        </w:trPr>
        <w:tc>
          <w:tcPr>
            <w:tcW w:w="77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766"/>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726"/>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2023</w:t>
            </w:r>
          </w:p>
        </w:tc>
      </w:tr>
      <w:tr>
        <w:trPr>
          <w:trHeight w:val="115"/>
        </w:trPr>
        <w:tc>
          <w:tcPr>
            <w:tcW w:w="77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Cash flows from operating activities: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r>
      <w:tr>
        <w:trPr>
          <w:trHeight w:val="122"/>
        </w:trPr>
        <w:tc>
          <w:tcPr>
            <w:tcW w:w="7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38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(31,513,389 )</w:t>
            </w:r>
          </w:p>
        </w:tc>
        <w:tc>
          <w:tcPr>
            <w:tcW w:w="800" w:type="dxa"/>
            <w:vAlign w:val="bottom"/>
            <w:gridSpan w:val="2"/>
          </w:tcPr>
          <w:p>
            <w:pPr>
              <w:jc w:val="right"/>
              <w:ind w:right="5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(14,406,262 )</w:t>
            </w:r>
          </w:p>
        </w:tc>
      </w:tr>
      <w:tr>
        <w:trPr>
          <w:trHeight w:val="122"/>
        </w:trPr>
        <w:tc>
          <w:tcPr>
            <w:tcW w:w="77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Depreciation and amortization expense</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24,179</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7,160</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Provision for credit losses on accounts receivable</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18,462</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(102,112 )</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Non-cash shares issued to Yorkville for aggregate commitment fee</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3,288,000</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Non-cash issuance of warrants accounted for as liabilities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2,448,000</w:t>
            </w: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Non-cash share issuance for marketing expenses</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245,252</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Non-cash settlement of GEM commitment fee</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2,000,000</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Non-cash share issuance for Yorkville redemption premium</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80,760</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Discount at issuance on notes carried at fair value</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747,962</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686,016</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Non-cash interest expense - related party</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1,532,475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513,977</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Amortization of debt discount and issuance costs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958,822</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Amortization of debt discount and issuance costs - related party</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1,393,785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2,410,735</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Amortization of operating lease right-of-use assets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137,717</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173,245</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based compensation expense</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1,165,680</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1,245,796</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Gain on extinguishment of liability</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(680,762 )</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Loss on conversion and settlement of Alco promissory notes - related party</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4,808,882</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Loss on conversion and settlement of CP BF notes - related party</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6,529,402</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Loss on debt issuance</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653,208</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Loss on extinguishment of term notes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1,071,563</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Impairment loss</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2,725,460</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Excise tax</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305,719</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warrant liability</w:t>
            </w:r>
          </w:p>
        </w:tc>
        <w:tc>
          <w:tcPr>
            <w:tcW w:w="380" w:type="dxa"/>
            <w:vAlign w:val="bottom"/>
          </w:tcPr>
          <w:p>
            <w:pPr>
              <w:spacing w:after="0"/>
              <w:rPr>
                <w:sz w:val="10"/>
                <w:szCs w:val="10"/>
                <w:color w:val="auto"/>
              </w:rPr>
            </w:pPr>
          </w:p>
        </w:tc>
        <w:tc>
          <w:tcPr>
            <w:tcW w:w="136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(626,000 )</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(1,807,000 )</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warrant liability - related party</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(572,700 )</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115,000</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simple agreement for future equity</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(207,570 )</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simple agreement for future equity - related party</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(2,752,430 )</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bifurcated embedded derivative liabilities</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(1,404,863 )</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bifurcated embedded derivative liabilities - related party</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(51,000 )</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(3,063,278 )</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convertible promissory notes</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693,000</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(34,000 )</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term notes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88,588</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Change in fair value of convertible bridge notes</w:t>
            </w:r>
          </w:p>
        </w:tc>
        <w:tc>
          <w:tcPr>
            <w:tcW w:w="380" w:type="dxa"/>
            <w:vAlign w:val="bottom"/>
          </w:tcPr>
          <w:p>
            <w:pPr>
              <w:spacing w:after="0"/>
              <w:rPr>
                <w:sz w:val="10"/>
                <w:szCs w:val="10"/>
                <w:color w:val="auto"/>
              </w:rPr>
            </w:pPr>
          </w:p>
        </w:tc>
        <w:tc>
          <w:tcPr>
            <w:tcW w:w="136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(10,176 )</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Accounts receivable</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15,828</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65,479</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551,645</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(407,648 )</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Other assets</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27,227</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Deferred offering costs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(1,708,163 )</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Accounts payable</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1,012,281</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5,339,614</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Due to related party</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67,118</w:t>
            </w: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Deferred revenue</w:t>
            </w:r>
          </w:p>
        </w:tc>
        <w:tc>
          <w:tcPr>
            <w:tcW w:w="380" w:type="dxa"/>
            <w:vAlign w:val="bottom"/>
          </w:tcPr>
          <w:p>
            <w:pPr>
              <w:spacing w:after="0"/>
              <w:rPr>
                <w:sz w:val="10"/>
                <w:szCs w:val="10"/>
                <w:color w:val="auto"/>
              </w:rPr>
            </w:pPr>
          </w:p>
        </w:tc>
        <w:tc>
          <w:tcPr>
            <w:tcW w:w="136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(6,315 )</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283,660</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Accrued expenses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498,051</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4,448,867</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Operating lease liabilities</w:t>
            </w:r>
          </w:p>
        </w:tc>
        <w:tc>
          <w:tcPr>
            <w:tcW w:w="380" w:type="dxa"/>
            <w:vAlign w:val="bottom"/>
          </w:tcPr>
          <w:p>
            <w:pPr>
              <w:spacing w:after="0"/>
              <w:rPr>
                <w:sz w:val="10"/>
                <w:szCs w:val="10"/>
                <w:color w:val="auto"/>
              </w:rPr>
            </w:pPr>
          </w:p>
        </w:tc>
        <w:tc>
          <w:tcPr>
            <w:tcW w:w="136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(237,607 )</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(284,963 )</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Earnout liability</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(44,549 )</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(229,700 )</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Deferred fees</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500,000</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Deferred revenue - long-term</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10,573</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Deferred tax liability</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10,115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tcBorders>
              <w:bottom w:val="single" w:sz="8" w:color="CFF0FC"/>
            </w:tcBorders>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Other long-term liabilities</w:t>
            </w:r>
          </w:p>
        </w:tc>
        <w:tc>
          <w:tcPr>
            <w:tcW w:w="380" w:type="dxa"/>
            <w:vAlign w:val="bottom"/>
            <w:tcBorders>
              <w:bottom w:val="single" w:sz="8" w:color="auto"/>
            </w:tcBorders>
            <w:shd w:val="clear" w:color="auto" w:fill="CFF0FC"/>
          </w:tcPr>
          <w:p>
            <w:pPr>
              <w:spacing w:after="0"/>
              <w:rPr>
                <w:sz w:val="10"/>
                <w:szCs w:val="10"/>
                <w:color w:val="auto"/>
              </w:rPr>
            </w:pPr>
          </w:p>
        </w:tc>
        <w:tc>
          <w:tcPr>
            <w:tcW w:w="1360" w:type="dxa"/>
            <w:vAlign w:val="bottom"/>
            <w:tcBorders>
              <w:bottom w:val="single" w:sz="8" w:color="auto"/>
            </w:tcBorders>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(75,000 )</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7700" w:type="dxa"/>
            <w:vAlign w:val="bottom"/>
          </w:tcPr>
          <w:p>
            <w:pPr>
              <w:ind w:left="300"/>
              <w:spacing w:after="0" w:line="115" w:lineRule="exact"/>
              <w:rPr>
                <w:sz w:val="20"/>
                <w:szCs w:val="20"/>
                <w:color w:val="auto"/>
              </w:rPr>
            </w:pPr>
            <w:r>
              <w:rPr>
                <w:rFonts w:ascii="Times New Roman" w:cs="Times New Roman" w:eastAsia="Times New Roman" w:hAnsi="Times New Roman"/>
                <w:sz w:val="11"/>
                <w:szCs w:val="11"/>
                <w:color w:val="auto"/>
              </w:rPr>
              <w:t>Net cash used in operating activities</w:t>
            </w: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(9,575,403 )</w:t>
            </w:r>
          </w:p>
        </w:tc>
        <w:tc>
          <w:tcPr>
            <w:tcW w:w="1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(1,550,781 )</w:t>
            </w:r>
          </w:p>
        </w:tc>
      </w:tr>
      <w:tr>
        <w:trPr>
          <w:trHeight w:val="115"/>
        </w:trPr>
        <w:tc>
          <w:tcPr>
            <w:tcW w:w="77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Cash flows from investing activities: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Cash acquired in acquisition of OpenReel</w:t>
            </w: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82,219</w:t>
            </w:r>
          </w:p>
        </w:tc>
        <w:tc>
          <w:tcPr>
            <w:tcW w:w="1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7700" w:type="dxa"/>
            <w:vAlign w:val="bottom"/>
            <w:tcBorders>
              <w:bottom w:val="single" w:sz="8" w:color="CFF0FC"/>
            </w:tcBorders>
            <w:shd w:val="clear" w:color="auto" w:fill="CFF0FC"/>
          </w:tcPr>
          <w:p>
            <w:pPr>
              <w:ind w:left="300"/>
              <w:spacing w:after="0" w:line="115" w:lineRule="exact"/>
              <w:rPr>
                <w:sz w:val="20"/>
                <w:szCs w:val="20"/>
                <w:color w:val="auto"/>
              </w:rPr>
            </w:pPr>
            <w:r>
              <w:rPr>
                <w:rFonts w:ascii="Times New Roman" w:cs="Times New Roman" w:eastAsia="Times New Roman" w:hAnsi="Times New Roman"/>
                <w:sz w:val="11"/>
                <w:szCs w:val="11"/>
                <w:color w:val="auto"/>
              </w:rPr>
              <w:t>Net cash provided by investing activities</w:t>
            </w:r>
          </w:p>
        </w:tc>
        <w:tc>
          <w:tcPr>
            <w:tcW w:w="380" w:type="dxa"/>
            <w:vAlign w:val="bottom"/>
            <w:tcBorders>
              <w:bottom w:val="single" w:sz="8" w:color="auto"/>
            </w:tcBorders>
            <w:shd w:val="clear" w:color="auto" w:fill="CFF0FC"/>
          </w:tcPr>
          <w:p>
            <w:pPr>
              <w:spacing w:after="0"/>
              <w:rPr>
                <w:sz w:val="10"/>
                <w:szCs w:val="10"/>
                <w:color w:val="auto"/>
              </w:rPr>
            </w:pPr>
          </w:p>
        </w:tc>
        <w:tc>
          <w:tcPr>
            <w:tcW w:w="1360" w:type="dxa"/>
            <w:vAlign w:val="bottom"/>
            <w:tcBorders>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82,219</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77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Cash flows from financing activities:</w:t>
            </w:r>
          </w:p>
        </w:tc>
        <w:tc>
          <w:tcPr>
            <w:tcW w:w="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Effect of Merger, net of transaction costs (Note 4)</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(7,615,462 )</w:t>
            </w: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Payment of GEM commitment fee</w:t>
            </w:r>
          </w:p>
        </w:tc>
        <w:tc>
          <w:tcPr>
            <w:tcW w:w="380" w:type="dxa"/>
            <w:vAlign w:val="bottom"/>
          </w:tcPr>
          <w:p>
            <w:pPr>
              <w:spacing w:after="0"/>
              <w:rPr>
                <w:sz w:val="10"/>
                <w:szCs w:val="10"/>
                <w:color w:val="auto"/>
              </w:rPr>
            </w:pPr>
          </w:p>
        </w:tc>
        <w:tc>
          <w:tcPr>
            <w:tcW w:w="136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(1,200,000 )</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Repayment of convertible notes (Yorkville)</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(750,000 )</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term notes, net of issuance costs</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2,782,438</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Repayment of term notes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(1,939,583 )</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Partial repayment of convertible notes - related party</w:t>
            </w:r>
          </w:p>
        </w:tc>
        <w:tc>
          <w:tcPr>
            <w:tcW w:w="380" w:type="dxa"/>
            <w:vAlign w:val="bottom"/>
          </w:tcPr>
          <w:p>
            <w:pPr>
              <w:spacing w:after="0"/>
              <w:rPr>
                <w:sz w:val="10"/>
                <w:szCs w:val="10"/>
                <w:color w:val="auto"/>
              </w:rPr>
            </w:pPr>
          </w:p>
        </w:tc>
        <w:tc>
          <w:tcPr>
            <w:tcW w:w="136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(283,315 )</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Yorkville redemption premium</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35,040</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advance from related party</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100,000</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issuance of GEM promissory note</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issuance of notes payable, net of issuance costs - related party</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4,387,701</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issuance of convertible notes, net of issuance costs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2,602,000</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3,235,000</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issuance of convertible notes, net of issuance costs - related party</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2,583,000</w:t>
            </w:r>
          </w:p>
        </w:tc>
      </w:tr>
      <w:tr>
        <w:trPr>
          <w:trHeight w:val="121"/>
        </w:trPr>
        <w:tc>
          <w:tcPr>
            <w:tcW w:w="77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received for exercise of Pre-Funded warrants</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2,072</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issuance of shares to Yorkville under the SEPA agreement</w:t>
            </w:r>
          </w:p>
        </w:tc>
        <w:tc>
          <w:tcPr>
            <w:tcW w:w="380" w:type="dxa"/>
            <w:vAlign w:val="bottom"/>
          </w:tcPr>
          <w:p>
            <w:pPr>
              <w:spacing w:after="0"/>
              <w:rPr>
                <w:sz w:val="10"/>
                <w:szCs w:val="10"/>
                <w:color w:val="auto"/>
              </w:rPr>
            </w:pPr>
          </w:p>
        </w:tc>
        <w:tc>
          <w:tcPr>
            <w:tcW w:w="1360" w:type="dxa"/>
            <w:vAlign w:val="bottom"/>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880,943</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7700" w:type="dxa"/>
            <w:vAlign w:val="bottom"/>
            <w:tcBorders>
              <w:bottom w:val="single" w:sz="8" w:color="CFF0FC"/>
            </w:tcBorders>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Proceeds from issuance of common stock</w:t>
            </w:r>
          </w:p>
        </w:tc>
        <w:tc>
          <w:tcPr>
            <w:tcW w:w="380" w:type="dxa"/>
            <w:vAlign w:val="bottom"/>
            <w:tcBorders>
              <w:bottom w:val="single" w:sz="8" w:color="auto"/>
            </w:tcBorders>
            <w:shd w:val="clear" w:color="auto" w:fill="CFF0FC"/>
          </w:tcPr>
          <w:p>
            <w:pPr>
              <w:spacing w:after="0"/>
              <w:rPr>
                <w:sz w:val="10"/>
                <w:szCs w:val="10"/>
                <w:color w:val="auto"/>
              </w:rPr>
            </w:pPr>
          </w:p>
        </w:tc>
        <w:tc>
          <w:tcPr>
            <w:tcW w:w="1360" w:type="dxa"/>
            <w:vAlign w:val="bottom"/>
            <w:tcBorders>
              <w:bottom w:val="single" w:sz="8" w:color="auto"/>
            </w:tcBorders>
            <w:shd w:val="clear" w:color="auto" w:fill="CFF0FC"/>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6,257,368</w:t>
            </w:r>
          </w:p>
        </w:tc>
        <w:tc>
          <w:tcPr>
            <w:tcW w:w="12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30,761</w:t>
            </w:r>
          </w:p>
        </w:tc>
      </w:tr>
      <w:tr>
        <w:trPr>
          <w:trHeight w:val="115"/>
        </w:trPr>
        <w:tc>
          <w:tcPr>
            <w:tcW w:w="770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rPr>
              <w:t>Net cash provided by financing activities</w:t>
            </w: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8,486,963</w:t>
            </w:r>
          </w:p>
        </w:tc>
        <w:tc>
          <w:tcPr>
            <w:tcW w:w="1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2,621,000</w:t>
            </w:r>
          </w:p>
        </w:tc>
      </w:tr>
      <w:tr>
        <w:trPr>
          <w:trHeight w:val="115"/>
        </w:trPr>
        <w:tc>
          <w:tcPr>
            <w:tcW w:w="77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Net decrease in cash</w:t>
            </w:r>
          </w:p>
        </w:tc>
        <w:tc>
          <w:tcPr>
            <w:tcW w:w="380" w:type="dxa"/>
            <w:vAlign w:val="bottom"/>
            <w:shd w:val="clear" w:color="auto" w:fill="CFF0FC"/>
          </w:tcPr>
          <w:p>
            <w:pPr>
              <w:spacing w:after="0"/>
              <w:rPr>
                <w:sz w:val="10"/>
                <w:szCs w:val="10"/>
                <w:color w:val="auto"/>
              </w:rPr>
            </w:pPr>
          </w:p>
        </w:tc>
        <w:tc>
          <w:tcPr>
            <w:tcW w:w="13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(1,006,221 )</w:t>
            </w: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1,070,219</w:t>
            </w:r>
          </w:p>
        </w:tc>
      </w:tr>
      <w:tr>
        <w:trPr>
          <w:trHeight w:val="121"/>
        </w:trPr>
        <w:tc>
          <w:tcPr>
            <w:tcW w:w="77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at beginning of period</w:t>
            </w:r>
          </w:p>
        </w:tc>
        <w:tc>
          <w:tcPr>
            <w:tcW w:w="3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2,093,718</w:t>
            </w:r>
          </w:p>
        </w:tc>
        <w:tc>
          <w:tcPr>
            <w:tcW w:w="1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1,023,499</w:t>
            </w:r>
          </w:p>
        </w:tc>
      </w:tr>
      <w:tr>
        <w:trPr>
          <w:trHeight w:val="155"/>
        </w:trPr>
        <w:tc>
          <w:tcPr>
            <w:tcW w:w="7700" w:type="dxa"/>
            <w:vAlign w:val="bottom"/>
            <w:tcBorders>
              <w:bottom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Cash at end of period</w:t>
            </w:r>
          </w:p>
        </w:tc>
        <w:tc>
          <w:tcPr>
            <w:tcW w:w="380" w:type="dxa"/>
            <w:vAlign w:val="bottom"/>
            <w:tcBorders>
              <w:bottom w:val="single" w:sz="8" w:color="auto"/>
            </w:tcBorders>
            <w:shd w:val="clear" w:color="auto" w:fill="CFF0FC"/>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1,087,497</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5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2,093,718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-1936750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-1602105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-359410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37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paid for interest</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338,393</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955,848</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paid for taxes</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5,113</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9,862</w:t>
            </w:r>
          </w:p>
        </w:tc>
      </w:tr>
      <w:tr>
        <w:trPr>
          <w:trHeight w:val="121"/>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i w:val="1"/>
                <w:iCs w:val="1"/>
                <w:color w:val="auto"/>
              </w:rPr>
              <w:t>Non-cash investing and financing activities</w:t>
            </w:r>
          </w:p>
        </w:tc>
        <w:tc>
          <w:tcPr>
            <w:tcW w:w="37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Roth for advisory fee</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578,833</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GEM</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784,943</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for marketing expenses</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334,772</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MZHCI for investor relations services</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94,800</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J.V.B for payment of outstanding debt</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115,000</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Hudson for consulting fee</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166,501</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Perkins Coie LLP for payment of oustanding debt</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919,700</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Settlement of GEM commitment fee</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200,000</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Yorkville for redemption premium</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115,800</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for exercise of Pre-Funded warrants</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2,072</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Deemed dividend - Series A and Series B warrant modification</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418,360</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convertible promissory note - GEM</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1,000,000</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CP BF for debt restructuring</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1,287,003</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Non-cash warrants and pre-funded warrants issued to CP BF for debt restructuring</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2,763,161</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Premium issued as part of CP BF debt modification</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4,079,225</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Alco for debt restructuring</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1,098,614</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Non-cash warrants and pre-funded warrants issued to Alco for debt restructuring</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7,768,006</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Derecognition of Cantor fee</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4,000,000</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Bifurcated embedded derivative liabilities at issuance—related party</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12,000</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Consideration transferred for acquisition of OpenReel</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20,826,920</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Right-of-use assets obtained in exchange for lease obligations</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76,269</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Cantor Fee Shares</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111</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Assets acquired in acquisition of OpenReel</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24,484,460</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Liabilities assumed in acquisition of OpenReel</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3,657,540</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Modification of convertible notes payable - related party</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9,909</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to Yorkville of aggregate commitment fee</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500,000</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3,288,000</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Shares issued under share transfer agreement - related party</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2,498,965</w:t>
            </w:r>
          </w:p>
        </w:tc>
      </w:tr>
      <w:tr>
        <w:trPr>
          <w:trHeight w:val="121"/>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warrants accounted for as a liability</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2,448,000</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GEM commitment fee</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2,000,000</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Deferred offering costs</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3,233,097</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simple agreement for future equity</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456,234</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simple agreement for future equity - related party</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6,049,766</w:t>
            </w:r>
          </w:p>
        </w:tc>
      </w:tr>
      <w:tr>
        <w:trPr>
          <w:trHeight w:val="121"/>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convertible notes</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3,346,232</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convertible notes - Yorkville</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4,130,000</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6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convertible notes - related party</w:t>
            </w:r>
          </w:p>
        </w:tc>
        <w:tc>
          <w:tcPr>
            <w:tcW w:w="3780" w:type="dxa"/>
            <w:vAlign w:val="bottom"/>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2,540,091</w:t>
            </w:r>
          </w:p>
        </w:tc>
        <w:tc>
          <w:tcPr>
            <w:tcW w:w="126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7,271,368</w:t>
            </w:r>
          </w:p>
        </w:tc>
      </w:tr>
      <w:tr>
        <w:trPr>
          <w:trHeight w:val="122"/>
        </w:trPr>
        <w:tc>
          <w:tcPr>
            <w:tcW w:w="6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 convertible notes - CP BF</w:t>
            </w:r>
          </w:p>
        </w:tc>
        <w:tc>
          <w:tcPr>
            <w:tcW w:w="3780" w:type="dxa"/>
            <w:vAlign w:val="bottom"/>
            <w:shd w:val="clear" w:color="auto" w:fill="CFF0FC"/>
          </w:tcPr>
          <w:p>
            <w:pPr>
              <w:jc w:val="right"/>
              <w:ind w:right="646"/>
              <w:spacing w:after="0" w:line="122" w:lineRule="exact"/>
              <w:rPr>
                <w:sz w:val="20"/>
                <w:szCs w:val="20"/>
                <w:color w:val="auto"/>
              </w:rPr>
            </w:pPr>
            <w:r>
              <w:rPr>
                <w:rFonts w:ascii="Times New Roman" w:cs="Times New Roman" w:eastAsia="Times New Roman" w:hAnsi="Times New Roman"/>
                <w:sz w:val="11"/>
                <w:szCs w:val="11"/>
                <w:color w:val="auto"/>
              </w:rPr>
              <w:t>216,284</w:t>
            </w:r>
          </w:p>
        </w:tc>
        <w:tc>
          <w:tcPr>
            <w:tcW w:w="1260" w:type="dxa"/>
            <w:vAlign w:val="bottom"/>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was incorporated in Delaware on September 30, 2015. Banzai is a leading enterprise SaaS Video Engagement platform used by marketers to power webinars, trainings, virtual events, and on-demand video content.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29, 2024, the Company held a special meeting of securityholders (the “Special Meeting”). At the Special Meeting, the Company’s securityholders approved the proposal to amend the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(the "Reverse Stock Split"). On September 10, 2024, the Board determined to effect a reverse stock split at a ratio of 1-for-50, effective as of September 19, 2024 and filed an amendment with the Secretary of State of the State of Delaware. The Class B Common Stock was not affected by the Reverse Stock Split.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 cash or fractional shares were issued in connection with the Reverse Stock Split, and instead the Company rounded up to the next whole share in lieu of issuing factional shares that would have been issued in the reverse split. </w:t>
      </w:r>
      <w:r>
        <w:rPr>
          <w:rFonts w:ascii="Times New Roman" w:cs="Times New Roman" w:eastAsia="Times New Roman" w:hAnsi="Times New Roman"/>
          <w:sz w:val="18"/>
          <w:szCs w:val="18"/>
          <w:color w:val="212529"/>
        </w:rPr>
        <w:t>Proportional adjustments were made to the number of shares of 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Common Stock share and per share information included herein has been retroactively adjusted to reflect the impact of the Reverse Stock Split.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Close of the Merger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“Closing Date”), 7GC &amp; Co. Holdings Inc. ("7GC"), our predecessor company, consummated the business combination pursuant to the Agreement and Plan of Merger and Reorganization, dated as of December 8, 2022 (the “Original Merger Agreement”), by and among 7GC, Banzai International, Inc. (“Legacy Banzai”), 7GC Merger Sub I, Inc., an indirect wholly owned subsidiary of 7GC (“First Merger Sub”), and 7GC Merger Sub II, LLC, a direct wholly owned subsidiary of 7GC (“Second Merger Sub”), as amended by the Amendment to Agreement and Plan of Merger, dated as of August 4, 2023 (the “Merger Agreement Amendment” and, together with the Original Merger Agreement, the “Merger Agreement”), by and between 7GC and Legacy Banzai.</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Merger Agreement, a business combination between 7GC and Legacy Banzai was effected through (a) the merger of First Merger Sub with and into Legacy Banzai, with Legacy Banzai surviving as a wholly-owned subsidiary of 7GC (Legacy Banzai, in its capacity as the surviving corporation of the merger, the “Surviving Corporation”) (the “First Merger”) and (b) the subsequent merger of the Surviving Corporation with and into Second Merger Sub, with Second Merger Sub being the surviving entity of the Second Merger, which ultimately resulted in Legacy Banzai becoming a wholly-owned direct subsidiary of 7GC (the “Second Merger” and, together with the First Merger, the “Mergers” and, collectively with the other transactions described in the Merger Agreement, the “Merger”). On the Closing Date, and in connection with the closing of the Merger (the “Closing”), 7GC changed its name to Banzai International, Inc.</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7GC was the legal acquirer of Legacy Banzai in the merger, Legacy Banzai is deemed to be the accounting acquirer, and the historical financial statements of Legacy Banzai became the basis for the historical financial statements of the Company upon the closing of the merger.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the financial statements included here reflect (i) the historical operating results of Legacy Banzai prior to the merger; (ii) the combined results of 7GC and Legacy Banzai following the close of the merger; (iii) the assets and liabilities of Legacy Banzai at their historical cost and (iv) the Legacy Banzai’s equity structure for all periods presented, as affected by the recapitalization presentation after completion of the merger.</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consideration payable to securityholders of Legacy Banzai at the Closing consisted of a number of shares of Class A Common Stock or shares of Class B Common Stock, and cash in lieu of any fractional shares of Class A Common Stock or shares of Class B Common Stock that would otherwise have been payable to any Legacy Banzai securityholders,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 xml:space="preserve">equal to $100,000,000. See </w:t>
      </w:r>
      <w:r>
        <w:rPr>
          <w:rFonts w:ascii="Times New Roman" w:cs="Times New Roman" w:eastAsia="Times New Roman" w:hAnsi="Times New Roman"/>
          <w:sz w:val="18"/>
          <w:szCs w:val="18"/>
          <w:i w:val="1"/>
          <w:iCs w:val="1"/>
          <w:color w:val="auto"/>
        </w:rPr>
        <w:t>Note 4 - Reverse Merger Capitalization with 7GC &amp; Co. Holdings Inc.</w:t>
      </w:r>
      <w:r>
        <w:rPr>
          <w:rFonts w:ascii="Times New Roman" w:cs="Times New Roman" w:eastAsia="Times New Roman" w:hAnsi="Times New Roman"/>
          <w:sz w:val="18"/>
          <w:szCs w:val="18"/>
          <w:color w:val="auto"/>
        </w:rPr>
        <w:t xml:space="preserve"> for further details of the merger.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closure of the Merger, the Company became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public companies that are not emerging growth companies.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102(b) (1) of the JOBS Act exempts emerging growth companies from being required to comply with new or revised financial accounting standards until private companies are required to comply. Private companies are those companies that have not had a Securities Act registration statement declared effective or do not have a class of securities registered under the Exchange Act of 1934, as amended (the "Exchange Act"). The JOBS Act provides that a company can elect to opt out of the extended transition period and comply with the requirements that apply to non-emerging growth companies. Any such election to opt out is irrevocable. The Company has elected not to opt out of such extended transition period, which means that when a standard is issued or revised, it adopts the new or revised standard at the time private companies adopt the new or revised standard. Therefore, the Company’s financial statements may not be comparable to certain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amounts in the prior year’s consolidated financial statements, as of December 31, 2023 have been reclassified to conform to the current period's presentation. This involved reclassifying the debt outstanding and associated interest expense on the debt outstanding with counterparty CP BF which were previously disclosed as Convertible Notes and Notes payable, and Interest expense, respectively, to Convertible notes - related party and Notes payable - related party, net of discount, and Interest expense - related party, respectively. This reclassification had no effect on the Company’s loss from operations, net loss, or net loss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cash of approximately $1.1 million. For the year ended December 31, 2024, the Company used approximately $9.6 million in cash for operating activities. The Company has incurred recurring net losses from operations and negative cash flows from operating activities since inception. As of December 31, 2024, the Company had an accumulated deficit of approximately $78.3 million. These factors raise substantial doubt regarding the Company’s ability to continue as a going concern within one year of the date these financial statements were issued.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financings (see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and equity financings associated with the Yorkville SEPA (as defined in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Company is unsuccessful in completing these planned transactions, it may be required to reduce its spending rate to align with expected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committed to a reduction in force (the "Reduction") intended to decrease expenses and maintain a streamlined organization to support key programs and customers, and that is expected to conserve cash. As part of the Reduction, the Company reduced its headcount by 24 employees, which represented approximately 34% of the Company's full-time employees as of September 15, 2024. The cost-saving measures from the Reduction reduced annual operating expenses by approximately $0.8 million beginning in the fourth quarter of 2024. The Company incurred total restructuring charges of approximately $0.1 million, including severance payments in connection with the Reduction. The Company completed the reduction in October, 2024.</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accompanying consolidated financial statements have been prepared assuming that the Company will continue as a going concern and do not include any adjustments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necessary adjustments (consisting of normal recurring adjustments, intercompany adjustments, reclassifications and non-recurring adjustments) have been recorded to present fairly our financial position as of December 31, 2024 and 2023, respectively, and the results of operations and cash flows for the years ended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and Simple Agreement for Future Equity (SAFE)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Uncertainties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to be cash equivalents. As of December 31, 2024 and 2023, respectively, the Company does not have any cash equivalents.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09" w:name="page110"/>
    <w:bookmarkEnd w:id="109"/>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consist of balances due from customers as well as from payment service providers. Payment terms range from due upon receipt, to net 30 days. Accounts receivable are stated net of an allowance for credit losses.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expected credit losses is based on the probability of future collection under the current expected credited loss (“CECL”) impairment model which was adopted by the Company on January 1, 2023, as discussed below within Recent Accounting Pronouncements. The adoption of ASU No. 2016-13, Financial Instruments: Credit Losses (Topic 326) ("ASU 2016-13") did not have a material impact on these consolidated financial statements.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determined an allowance for credit losses of $24,210 and $5,748 was required, respectively. Further, for the years ended December 31, 2024 and 2023, the Company recognized bad debt expenses for accounts receivable balances of $18,462 and $65,013, respectively.</w:t>
      </w:r>
    </w:p>
    <w:p>
      <w:pPr>
        <w:sectPr>
          <w:pgSz w:w="11900" w:h="16838" w:orient="portrait"/>
          <w:cols w:equalWidth="0" w:num="1">
            <w:col w:w="11240"/>
          </w:cols>
          <w:pgMar w:left="320" w:top="1269"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 for the year ended December 31, 2024: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provision for credit losses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Commissions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5,748</w:t>
            </w:r>
          </w:p>
        </w:tc>
      </w:tr>
      <w:tr>
        <w:trPr>
          <w:trHeight w:val="234"/>
        </w:trPr>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18,462</w:t>
            </w:r>
          </w:p>
        </w:tc>
      </w:tr>
      <w:tr>
        <w:trPr>
          <w:trHeight w:val="210"/>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24,210</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60" w:lineRule="exact"/>
        <w:rPr>
          <w:sz w:val="20"/>
          <w:szCs w:val="20"/>
          <w:color w:val="auto"/>
        </w:rPr>
      </w:pPr>
    </w:p>
    <w:p>
      <w:pPr>
        <w:sectPr>
          <w:pgSz w:w="11900" w:h="16838" w:orient="portrait"/>
          <w:cols w:equalWidth="0" w:num="2">
            <w:col w:w="8460" w:space="720"/>
            <w:col w:w="2060"/>
          </w:cols>
          <w:pgMar w:left="320" w:top="1269" w:right="339" w:bottom="1440" w:gutter="0" w:footer="0" w:header="0"/>
          <w:type w:val="continuous"/>
        </w:sectPr>
      </w:pP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Sales commissions for initial contracts are deferred and then amortized on a straight-line basis over a period of benefit the Company has determined to be three</w:t>
      </w:r>
    </w:p>
    <w:p>
      <w:pPr>
        <w:ind w:right="20" w:firstLine="8"/>
        <w:spacing w:after="0" w:line="260" w:lineRule="auto"/>
        <w:tabs>
          <w:tab w:leader="none" w:pos="2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Company determined the period of benefit by taking into consideration the average contractual customer term, technology obsolescence and other factors.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and Impairment of Long-Lived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Intangible assets are presented at fair value, net of amortization. The fair value is determined based on the appraised value of the asset. Intangible assets are composed of developed technology, trade names and customer lists (see </w:t>
      </w:r>
      <w:r>
        <w:rPr>
          <w:rFonts w:ascii="Times New Roman" w:cs="Times New Roman" w:eastAsia="Times New Roman" w:hAnsi="Times New Roman"/>
          <w:sz w:val="18"/>
          <w:szCs w:val="18"/>
          <w:i w:val="1"/>
          <w:iCs w:val="1"/>
          <w:color w:val="212529"/>
        </w:rPr>
        <w:t>Note 5</w:t>
      </w:r>
      <w:r>
        <w:rPr>
          <w:rFonts w:ascii="Times New Roman" w:cs="Times New Roman" w:eastAsia="Times New Roman" w:hAnsi="Times New Roman"/>
          <w:sz w:val="18"/>
          <w:szCs w:val="18"/>
          <w:color w:val="212529"/>
        </w:rPr>
        <w:t>), video material licenses, a web domain, and patents. Intangible assets subject to amortization consist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526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526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260" w:type="dxa"/>
            <w:vAlign w:val="bottom"/>
            <w:shd w:val="clear" w:color="auto" w:fill="CCEEFF"/>
          </w:tcPr>
          <w:p>
            <w:pPr>
              <w:jc w:val="center"/>
              <w:ind w:left="3450"/>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588,710</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5260" w:type="dxa"/>
            <w:vAlign w:val="bottom"/>
          </w:tcPr>
          <w:p>
            <w:pPr>
              <w:jc w:val="center"/>
              <w:ind w:left="3430"/>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899,600</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260" w:type="dxa"/>
            <w:vAlign w:val="bottom"/>
            <w:shd w:val="clear" w:color="auto" w:fill="CCEEFF"/>
          </w:tcPr>
          <w:p>
            <w:pPr>
              <w:jc w:val="center"/>
              <w:ind w:left="3450"/>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2,415,010</w:t>
            </w:r>
          </w:p>
        </w:tc>
      </w:tr>
      <w:tr>
        <w:trPr>
          <w:trHeight w:val="216"/>
        </w:trPr>
        <w:tc>
          <w:tcPr>
            <w:tcW w:w="39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3,903,320</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5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(19,467 )</w:t>
            </w: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2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3,883,853</w:t>
            </w:r>
          </w:p>
        </w:tc>
      </w:tr>
      <w:tr>
        <w:trPr>
          <w:trHeight w:val="630"/>
        </w:trPr>
        <w:tc>
          <w:tcPr>
            <w:tcW w:w="3900" w:type="dxa"/>
            <w:vAlign w:val="bottom"/>
          </w:tcPr>
          <w:p>
            <w:pPr>
              <w:spacing w:after="0"/>
              <w:rPr>
                <w:sz w:val="24"/>
                <w:szCs w:val="24"/>
                <w:color w:val="auto"/>
              </w:rPr>
            </w:pPr>
          </w:p>
        </w:tc>
        <w:tc>
          <w:tcPr>
            <w:tcW w:w="52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F-11</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212529"/>
        </w:rPr>
        <w:t>Total amortization expense related to intangible assets was $19,467 for the year ended December 31, 2024. Expected amortization expense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40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546,576</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406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546,576</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40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546,576</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406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546,576</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40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546,576</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6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1,150,973</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3,883,853</w:t>
            </w: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Company periodically evaluates its long-lived assets for potential impairment in accordance with ASC Topic 360, Property, Plant and Equipment </w:t>
      </w:r>
      <w:r>
        <w:rPr>
          <w:rFonts w:ascii="Times New Roman" w:cs="Times New Roman" w:eastAsia="Times New Roman" w:hAnsi="Times New Roman"/>
          <w:sz w:val="18"/>
          <w:szCs w:val="18"/>
          <w:i w:val="1"/>
          <w:iCs w:val="1"/>
          <w:color w:val="212529"/>
        </w:rPr>
        <w: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i w:val="1"/>
          <w:iCs w:val="1"/>
          <w:color w:val="212529"/>
        </w:rPr>
        <w:t>ASC 360</w:t>
      </w:r>
      <w:r>
        <w:rPr>
          <w:rFonts w:ascii="Times New Roman" w:cs="Times New Roman" w:eastAsia="Times New Roman" w:hAnsi="Times New Roman"/>
          <w:sz w:val="18"/>
          <w:szCs w:val="18"/>
          <w:color w:val="212529"/>
        </w:rPr>
        <w:t>”). Potential impairment is assessed when there is evidence that events or changes in circumstances indicate that the carrying amount of an asset</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 xml:space="preserve">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through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12529"/>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2024, the Company had two operating segments, which were deemed to be its reporting units, for the purpose of evaluating goodwill impairment. Refer to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 xml:space="preserve"> for further discussion of the Company's segment reporting.</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 The factors considered in the qualitative assessment include macroeconomic conditions, industry and market conditions and overall financial performance of the Company, among other factors. Under a quantitative assessment, the Company will estimate the fair value of the Company through a combination of income and market approach valuation methodologies.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completed its annual goodwill impairment test as of December 31, 2024. For the annual test, the Company bypassed the qualitative assessment and proceeded directly to the quantitative impairment test based on the stock price of the Company on the measurement date and economic uncertainty. To perform the quantitative assessment, the Company estimated the fair value of equity using the market capitalization method of the market approach, consideration of initiatives unknown by the market and evaluation of any implied control premium. Management further supported the conclusions by assessing a combination of an income valuation methodology, comprising a discounted cash flow analysis and market valuation methodologies, comprising the guideline public company and guideline transaction methods.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capitalization method calculated the aggregate market value of the Company based on the total number of outstanding shares of common and preferred stock and the market prices of the shares as of the assessment date. The Company evaluated conditions that were unknown by the market as of the assessment date and how a market participant would evaluate an implied control premium for the Company. The implied control premium was supported using a discounted cash flow analysis that contemplated the present value of assumed market participant cost savings and synergies.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small stock risk premiums, including a beta, equity risk, size, and small stock risk premiums to reflect risks and uncertainties in the financial market and in the Company’s business projections.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 There was a $2.7 million impairment of goodwill recorded to the OpenReel reporting unit for the year ended December 31, 2024, and no impairment of goodwill recognized on the Banzai Operating Co. reporting unit for the years ended December 31, 2024 and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2023, the Company capitalized fees related to the Merger Agreement (see </w:t>
      </w:r>
      <w:r>
        <w:rPr>
          <w:rFonts w:ascii="Times New Roman" w:cs="Times New Roman" w:eastAsia="Times New Roman" w:hAnsi="Times New Roman"/>
          <w:sz w:val="18"/>
          <w:szCs w:val="18"/>
          <w:i w:val="1"/>
          <w:iCs w:val="1"/>
          <w:color w:val="auto"/>
        </w:rPr>
        <w:t>Note 1 - Organization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4 - Merger</w:t>
      </w:r>
      <w:r>
        <w:rPr>
          <w:rFonts w:ascii="Times New Roman" w:cs="Times New Roman" w:eastAsia="Times New Roman" w:hAnsi="Times New Roman"/>
          <w:sz w:val="18"/>
          <w:szCs w:val="18"/>
          <w:color w:val="auto"/>
        </w:rPr>
        <w:t>) as an asset. These fees were recognized as a reduction of equity, upon Closing of the Merger on December 14, 2023.</w:t>
      </w:r>
    </w:p>
    <w:p>
      <w:pPr>
        <w:sectPr>
          <w:pgSz w:w="11900" w:h="16838" w:orient="portrait"/>
          <w:cols w:equalWidth="0" w:num="1">
            <w:col w:w="11240"/>
          </w:cols>
          <w:pgMar w:left="320" w:top="1269" w:right="3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deferred offering costs consisted of the following, as of December 14, 2023: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SPAC-related legal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bank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Federal Trade Commission filing fees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deferred offering costs capitalized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8"/>
          <w:szCs w:val="18"/>
          <w:b w:val="1"/>
          <w:bCs w:val="1"/>
          <w:color w:val="auto"/>
        </w:rPr>
        <w:t>December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12687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0">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11" w:lineRule="exact"/>
        <w:rPr>
          <w:sz w:val="20"/>
          <w:szCs w:val="20"/>
          <w:color w:val="auto"/>
        </w:rPr>
      </w:pPr>
    </w:p>
    <w:p>
      <w:pPr>
        <w:ind w:left="1145" w:hanging="1145"/>
        <w:spacing w:after="0"/>
        <w:tabs>
          <w:tab w:leader="none" w:pos="11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2,973,077</w:t>
      </w:r>
    </w:p>
    <w:p>
      <w:pPr>
        <w:spacing w:after="0" w:line="22" w:lineRule="exact"/>
        <w:rPr>
          <w:rFonts w:ascii="Times New Roman" w:cs="Times New Roman" w:eastAsia="Times New Roman" w:hAnsi="Times New Roman"/>
          <w:sz w:val="18"/>
          <w:szCs w:val="18"/>
          <w:color w:val="auto"/>
        </w:rPr>
      </w:pPr>
    </w:p>
    <w:p>
      <w:pPr>
        <w:ind w:left="12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135,000</w:t>
      </w:r>
    </w:p>
    <w:p>
      <w:pPr>
        <w:spacing w:after="0" w:line="20" w:lineRule="exact"/>
        <w:rPr>
          <w:rFonts w:ascii="Times New Roman" w:cs="Times New Roman" w:eastAsia="Times New Roman" w:hAnsi="Times New Roman"/>
          <w:sz w:val="18"/>
          <w:szCs w:val="18"/>
          <w:color w:val="auto"/>
        </w:rPr>
      </w:pPr>
    </w:p>
    <w:p>
      <w:pPr>
        <w:ind w:left="12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125,020</w:t>
      </w:r>
    </w:p>
    <w:p>
      <w:pPr>
        <w:spacing w:after="0" w:line="21" w:lineRule="exact"/>
        <w:rPr>
          <w:sz w:val="20"/>
          <w:szCs w:val="20"/>
          <w:color w:val="auto"/>
        </w:rPr>
      </w:pPr>
    </w:p>
    <w:p>
      <w:pPr>
        <w:ind w:left="1145" w:hanging="1145"/>
        <w:spacing w:after="0"/>
        <w:tabs>
          <w:tab w:leader="none" w:pos="11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3,233,097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2687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1">
                      <a:extLst>
                        <a:ext uri="{28A0092B-C50C-407E-A947-70E740481C1C}"/>
                      </a:extLst>
                    </a:blip>
                    <a:srcRect/>
                    <a:stretch>
                      <a:fillRect/>
                    </a:stretch>
                  </pic:blipFill>
                  <pic:spPr bwMode="auto">
                    <a:xfrm>
                      <a:off x="0" y="0"/>
                      <a:ext cx="126873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12687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35" w:space="720"/>
            <w:col w:w="1985"/>
          </w:cols>
          <w:pgMar w:left="320" w:top="1269" w:right="339" w:bottom="1440" w:gutter="0" w:footer="0" w:header="0"/>
          <w:type w:val="continuous"/>
        </w:sectPr>
      </w:pPr>
    </w:p>
    <w:p>
      <w:pPr>
        <w:spacing w:after="0" w:line="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entire balance of Deferred Offering Costs capitalized as of December 14, 2023, was reclassified to Additional Paid-in- Capital, on December 14, 2023, in connection with the closing of the Merger. As a result, there was no Deferred Offering Costs balance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 - related party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originally issued in 7GC's initial public offering (the "Public Warrants") are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consolidated statements of operations.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Company's consolidated balance sheets.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Equity—SAFE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Simple Agreements for Future Equity ("SAFE") at fair value in accordance with ASC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SAFEs are subject to revaluation at the end of each reporting period, with changes in fair value recognized in the accompanying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and Credit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accounts receivable. The Company has no financial instruments with off-balance sheet risk of loss.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one customer accounted for 10% or more of accounts receivable with a concentration of 14% of the total accounts receivable balance. At December 31, 2023, no customers accounted for 10% or more of accounts receivable. For the years ended December 31, 2024 and 2023, no customers accounted for 10% or more of total revenues.</w:t>
      </w:r>
    </w:p>
    <w:p>
      <w:pPr>
        <w:spacing w:after="0" w:line="149" w:lineRule="exact"/>
        <w:rPr>
          <w:sz w:val="20"/>
          <w:szCs w:val="20"/>
          <w:color w:val="auto"/>
        </w:rPr>
      </w:pPr>
    </w:p>
    <w:p>
      <w:pPr>
        <w:ind w:right="2100"/>
        <w:spacing w:after="0" w:line="453" w:lineRule="auto"/>
        <w:rPr>
          <w:sz w:val="20"/>
          <w:szCs w:val="20"/>
          <w:color w:val="auto"/>
        </w:rPr>
      </w:pPr>
      <w:r>
        <w:rPr>
          <w:rFonts w:ascii="Times New Roman" w:cs="Times New Roman" w:eastAsia="Times New Roman" w:hAnsi="Times New Roman"/>
          <w:sz w:val="18"/>
          <w:szCs w:val="18"/>
          <w:color w:val="auto"/>
        </w:rPr>
        <w:t xml:space="preserve">At December 31, 2024 and 2023, two suppliers and one supplier accounted for 10% or more of accounts payable, respectively. </w:t>
      </w:r>
      <w:r>
        <w:rPr>
          <w:rFonts w:ascii="Times New Roman" w:cs="Times New Roman" w:eastAsia="Times New Roman" w:hAnsi="Times New Roman"/>
          <w:sz w:val="18"/>
          <w:szCs w:val="18"/>
          <w:b w:val="1"/>
          <w:bCs w:val="1"/>
          <w:i w:val="1"/>
          <w:iCs w:val="1"/>
          <w:color w:val="auto"/>
        </w:rPr>
        <w:t>Loss Per Share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7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(31,095,029 )</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(14,406,262 )</w:t>
            </w:r>
          </w:p>
        </w:tc>
      </w:tr>
      <w:tr>
        <w:trPr>
          <w:trHeight w:val="198"/>
        </w:trPr>
        <w:tc>
          <w:tcPr>
            <w:tcW w:w="7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shares—basic and diluted</w:t>
            </w:r>
          </w:p>
        </w:tc>
        <w:tc>
          <w:tcPr>
            <w:tcW w:w="38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4,458,169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2,401,988</w:t>
            </w:r>
          </w:p>
        </w:tc>
      </w:tr>
      <w:tr>
        <w:trPr>
          <w:trHeight w:val="21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(6.00 )</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position that could potentially be dilutive in future periods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54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700" w:type="dxa"/>
            <w:vAlign w:val="bottom"/>
          </w:tcPr>
          <w:p>
            <w:pPr>
              <w:spacing w:after="0"/>
              <w:rPr>
                <w:sz w:val="18"/>
                <w:szCs w:val="18"/>
                <w:color w:val="auto"/>
              </w:rPr>
            </w:pPr>
          </w:p>
        </w:tc>
        <w:tc>
          <w:tcPr>
            <w:tcW w:w="1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25,661</w:t>
            </w:r>
          </w:p>
        </w:tc>
        <w:tc>
          <w:tcPr>
            <w:tcW w:w="18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14,962</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340,783</w:t>
            </w:r>
          </w:p>
        </w:tc>
        <w:tc>
          <w:tcPr>
            <w:tcW w:w="12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Public warrant shares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230,000</w:t>
            </w:r>
          </w:p>
        </w:tc>
        <w:tc>
          <w:tcPr>
            <w:tcW w:w="18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 warrant shares</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16,571</w:t>
            </w: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16,571</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warrant shares</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4,527,613</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agent warrant shares</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104,902</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5,245,530</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261,533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determines if an arrangement is a lease at inception and classifies its leases at commencement. Operating leases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3" w:name="page114"/>
    <w:bookmarkEnd w:id="113"/>
    <w:p>
      <w:pPr>
        <w:jc w:val="both"/>
        <w:spacing w:after="0" w:line="266" w:lineRule="auto"/>
        <w:rPr>
          <w:sz w:val="20"/>
          <w:szCs w:val="20"/>
          <w:color w:val="auto"/>
        </w:rPr>
      </w:pPr>
      <w:r>
        <w:rPr>
          <w:rFonts w:ascii="Times New Roman" w:cs="Times New Roman" w:eastAsia="Times New Roman" w:hAnsi="Times New Roman"/>
          <w:sz w:val="18"/>
          <w:szCs w:val="18"/>
          <w:color w:val="auto"/>
        </w:rPr>
        <w:t>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generated through Banzai providing marketing and webinar platform subscription software service for a set period of time. The Statement of Work ("SOW") or Invoice, and the accompanying documents are negotiated and signed by both parties (if applicable). Alternatively, customer contracting is achieved via self 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quarterly, or annually, with the majority paid via credit card processing.</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services to its customers. To determine revenue recognition for contracts with customers, the Company performs the following steps described in ASC 606:</w:t>
      </w:r>
    </w:p>
    <w:p>
      <w:pPr>
        <w:jc w:val="both"/>
        <w:ind w:firstLine="8"/>
        <w:spacing w:after="0" w:line="255" w:lineRule="auto"/>
        <w:tabs>
          <w:tab w:leader="none" w:pos="2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the contract with the customer, or Step 1, (2) identifies the performance obligations in the contract, or Step 2, (3) determines the transaction price, or Step 3, (4) allocates the transaction price to the performance obligations in the contract, or Step 4, and (5) recognizes revenue when (or as) the entity satisfies a performance obligation, or Step 5.</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 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w:t>
      </w:r>
    </w:p>
    <w:p>
      <w:pPr>
        <w:spacing w:after="0" w:line="3" w:lineRule="exact"/>
        <w:rPr>
          <w:sz w:val="20"/>
          <w:szCs w:val="20"/>
          <w:color w:val="auto"/>
        </w:rPr>
      </w:pPr>
    </w:p>
    <w:p>
      <w:pPr>
        <w:jc w:val="both"/>
        <w:ind w:firstLine="8"/>
        <w:spacing w:after="0" w:line="255" w:lineRule="auto"/>
        <w:tabs>
          <w:tab w:leader="none" w:pos="3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once control passes to the customer. The following indicators are evaluated in determining when control has passed to the customer:</w:t>
      </w:r>
    </w:p>
    <w:p>
      <w:pPr>
        <w:spacing w:after="0" w:line="27" w:lineRule="exact"/>
        <w:rPr>
          <w:sz w:val="20"/>
          <w:szCs w:val="20"/>
          <w:color w:val="auto"/>
        </w:rPr>
      </w:pPr>
    </w:p>
    <w:p>
      <w:pPr>
        <w:jc w:val="both"/>
        <w:ind w:firstLine="8"/>
        <w:spacing w:after="0" w:line="252" w:lineRule="auto"/>
        <w:tabs>
          <w:tab w:leader="none" w:pos="2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revenue consist primarily of infrastructure, streaming service, data license and contracted services costs, as well as merchant fees and payroll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were $467,897 and $941,737 for the years ended December 31, 2024 and 2023, respectively, which are included in general and administrative expenses on the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expenses stock-based compensation to employees and non-employees over the requisite service period based on the estimated grant-date fair value of the awards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 Refer to </w:t>
      </w:r>
      <w:r>
        <w:rPr>
          <w:rFonts w:ascii="Times New Roman" w:cs="Times New Roman" w:eastAsia="Times New Roman" w:hAnsi="Times New Roman"/>
          <w:sz w:val="18"/>
          <w:szCs w:val="18"/>
          <w:i w:val="1"/>
          <w:iCs w:val="1"/>
          <w:color w:val="auto"/>
        </w:rPr>
        <w:t>Note 8 -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xml:space="preserve"> for further detail.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Notes - Fair Value Option Election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determined the Agile Notes and 1800 Diagonal Notes (The "Bridge Notes") (as defined in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were eligible for the fair value option, in accordance with ASC 825-10-50-28, and made such election to account for the Bridge Notes at fair value. The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may be elected on an instrument-by-instrument basis and is irrevocable unless a new election date occurs. Additional term or other notes may be issued in subsequent periods where the Company would be able to make a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election upon issuance provided eligibility criteria are met. The Company records the portion of the Bridge Notes that are issued and outstanding for accounting purposes at fair value with changes in fair value recorded in other income (expense), net in the condensed consolidated statement of operations, except for the portion of the total change in fair value that results from a change in the instrument-specific credit risk of the Bridge Notes, which is recorded in other comprehensive income (loss), if applicable. The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election was made to align the accounting for the Bridge Notes with the Company's financial reporting objectives and reduce operational effort to account for embedded features that otherwise would require bifurcation as a separate unit of account.</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election, direct and incremental debt issuance costs and consideration paid to the lender related to the Bridge Notes were expensed as incurred and recorded in other income (expense), net in the condensed consolidated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statements of operations. Measurement of the change in fair value of the Bridge Notes includes accrued interest, whether paid-in-kind or cash.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years ended December 31, 2024 and 2023. The carrying amount of cash, accounts receivable, prepaid expenses and other current assets, accounts payable, accrued expenses, deferred revenue, and other current liabilities approximated their fair values as of December 31, 2024 and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purchase price for acquisitions are allocated to the assets acquired and liabilities assumed based on their estimated fair values at the date of acquisition. The fair value of identifiable intangible assets is based on detailed valuations that use information and assumptions provided by management, including expected future cash flows. We allocate any excess purchase price over the fair value of the identifiable net assets and liabilities acquired to goodwill. Identifiable intangible assets with finite lives are amortized over their useful lives. Acquisition-related costs, including advisory, legal, accounting, valuation, and other costs, are expensed in the periods in which the costs are incurred. The results of operations of acquired businesses are included in the consolidated financial statements from the acquisition date. Refer to </w:t>
      </w:r>
      <w:r>
        <w:rPr>
          <w:rFonts w:ascii="Times New Roman" w:cs="Times New Roman" w:eastAsia="Times New Roman" w:hAnsi="Times New Roman"/>
          <w:sz w:val="18"/>
          <w:szCs w:val="18"/>
          <w:i w:val="1"/>
          <w:iCs w:val="1"/>
          <w:color w:val="212529"/>
        </w:rPr>
        <w:t>Note 5</w:t>
      </w:r>
      <w:r>
        <w:rPr>
          <w:rFonts w:ascii="Times New Roman" w:cs="Times New Roman" w:eastAsia="Times New Roman" w:hAnsi="Times New Roman"/>
          <w:sz w:val="18"/>
          <w:szCs w:val="18"/>
          <w:color w:val="212529"/>
        </w:rPr>
        <w:t xml:space="preserve"> for further discussion.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amendments are effective for annual periods beginning after December 15, 2024. Early adoption is permitted and should be applied prospectively. The Company is currently evaluating the effect of adopting this guidance on its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improve reportable segment disclosure requirements through enhanced disclosures over significant segment expenses regularly provided to the Chief Operating Decision Maker ("CODM"), extending certain annual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6" w:name="page117"/>
    <w:bookmarkEnd w:id="116"/>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disclosures to interim periods, and through permitting more than one measure of segment profit or loss to be reported under certain conditions. The Company adopted this guidance effective December 31, 2024, on a retrospective basis. Refer to </w:t>
      </w:r>
      <w:r>
        <w:rPr>
          <w:rFonts w:ascii="Times New Roman" w:cs="Times New Roman" w:eastAsia="Times New Roman" w:hAnsi="Times New Roman"/>
          <w:sz w:val="18"/>
          <w:szCs w:val="18"/>
          <w:i w:val="1"/>
          <w:iCs w:val="1"/>
          <w:color w:val="auto"/>
        </w:rPr>
        <w:t>Note 21</w:t>
      </w:r>
      <w:r>
        <w:rPr>
          <w:rFonts w:ascii="Times New Roman" w:cs="Times New Roman" w:eastAsia="Times New Roman" w:hAnsi="Times New Roman"/>
          <w:sz w:val="18"/>
          <w:szCs w:val="18"/>
          <w:color w:val="auto"/>
        </w:rPr>
        <w:t xml:space="preserve">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Reverse Merger Capitalization with 7GC &amp; Co. Holdings Inc.</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"Closing Date"), Banzai consummated the previously announced Merger with 7GC, as a result of which Banzai became a wholly-owned subsidiary of 7GC. While 7GC was the legal acquirer of Banzai in the merger, for accounting purposes, Legacy Banzai was deemed to be the accounting acquirer in the merger. The determination was primarily based on Legacy Banzai’s stockholders having a majority of the voting power in the combined Company, Legacy Banzai having the ability to appoint a majority of the Board of Directors of the Company, Legacy Banzai’s existing management team comprising the senior management of the combined Company, Legacy Banzai comprising the ongoing operations of the combined Company and the combined Company assumed the name “Banzai International, Inc.”. Accordingly, for accounting purposes, the merger was treated as the equivalent of Legacy Banzai issuing stock for the net assets of 7GC, accompanied by a recapitalization. The net assets of 7GC are stated at historical cost, with no goodwill or other intangible assets recorded.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Retroactive Restatement for Conversion of Common Stock and Series A Preferred Stock by Applying Exchange Ratio</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closing of the merger, holders of Legacy Banzai common stock and Series A preferred stock received shares of common stock in an amount determined by application of the Exchange Ratio. In accordance with guidance applicable to these circumstances, the equity structure has been restated in all comparable periods, prior to the merger, up to December 14, 2023, to reflect the number of shares of the Company’s common stock, $0.0001 par value per share, issued to Legacy Banzai’s stockholders in connection with the merger. As such, the shares and corresponding capital amounts and earnings per share related to Legacy Banzai’s outstanding Series A preferred stock and Legacy Banzai’s common stock prior to the merger have been retroactively restated as shares reflecting the exchange ratio of approximately 0.6147 established in the merger. Legacy Banzai’s Series A preferred stock previously classified as temporary equity was retroactively adjusted, converted into common stock and reclassified to permanent equity as a result of the reverse recapitalization. The consolidated assets, liabilities, and results of operations prior to the merger are those of Legacy Banzai.</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consideration payable to securityholders of Banzai at the Closing Date was equal to $100,000,000. Holders of 64,149 shares of 7GC's Class A common stock, par value $0.0001 per share ("7GC Class A Common Stock"), exercised their right to redeem their shares for cash at a redemption price of approximately $538.00 per share, for an aggregate redemption amount of $34,524,065. Immediately prior to the Closing Date, each share of Banzai's Preferred Stock that was issued and outstanding was automatically converted into one share of Banzai's Class A Common Stock, par value $0.0001 per share. Each share of Banzai's Class B Common Stock that was not held by the Chief Executive Officer of the Company converted to one share of Banzai's Class A Common Stock, while the Chief Executive Officer received Class B Common Stock.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at the Second Effective Time, each share of common stock of the Surviving Corporation issued and outstanding immediately prior to the Second Effective Time was cancelled and no consideration was delivered therefore.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closing of the merger, the Company’s certificate of incorporation was amended and restated to, among other things, increase the total number of authorized shares of all classes of capital stock to 350,000,000 shares, consisting of 250,000,000 shares of Class A Common Stock, 25,000,000 shares of Class B Common Stock, and 75,000,000 shares of Preferred Stock, all having a par value of $0.0001 per share. As of December 31, 2024, there were 8,195,163 shares of Common Stock and 1 share of Preferred Stock outstanding.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Merger on Class A and Class B Common Stock</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Close of the Merger, holders of Legacy Banzai common stock and Series A preferred stock were converted into shares of common stock in an amount determined by application of the Exchange Ratio. As noted above, the equity structure has been restated in all comparable periods, prior to the Merger, up to December 14, 2023, to reflect the number of shares of the Company’s common stock, $0.0001 par value per share, issued to Legacy Banzai’s stockholders in connection with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 of OpenReel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18, 2024, the Company closed a previously announced merger (the “OpenReel Merger”, the consummation of the Merger, the “OpenReel Closing”) with ClearDoc, Inc., a Delaware corporation doing business as OpenReel (“OpenReel”). OpenReel is a remote video capture technology provider that provides subscription-based software as a service (“SaaS”)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p>
      <w:pPr>
        <w:jc w:val="both"/>
        <w:spacing w:after="0" w:line="254" w:lineRule="auto"/>
        <w:rPr>
          <w:sz w:val="20"/>
          <w:szCs w:val="20"/>
          <w:color w:val="auto"/>
        </w:rPr>
      </w:pPr>
      <w:r>
        <w:rPr>
          <w:rFonts w:ascii="Times New Roman" w:cs="Times New Roman" w:eastAsia="Times New Roman" w:hAnsi="Times New Roman"/>
          <w:sz w:val="18"/>
          <w:szCs w:val="18"/>
          <w:color w:val="auto"/>
        </w:rPr>
        <w:t>offerings to enterprise, media, entertainment and agency teams to remotely control, direct, script, film, and collaborate on high definition video projects from a mobile device or webcam. The merger became effective pursuant to an Agreement and Plan of Merger (the “OpenReel Merger Agreement”) dated December 10, 2024, by and among the Company, OpenReel, certain stockholders of OpenReel (the “OpenReel Stockholders”), and Banzai Reel Acquisition, Inc., a Delaware corporation and wholly owned subsidiary of the Company (“OpenReel Merger Sub”) which was formed solely for the purpose of consummating the OpenReel Merger. Upon the OpenReel Closing, the OpenReel Merger Sub merged with and into OpenReel, with OpenReel being the surviving entity thereafter as a direct and wholly owned subsidiary of the Company named “OpenReel, Inc.”. The OpenReel Merger is intended to qualify as a tax-free reorganization for U.S. federal income tax purposes. The Company's primary reason for acquiring OpenReel was to enhance revenue growth and strengthen the Company's competitive market position through cross selling opportunities.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effective time of the OpenReel Merger (the “OpenReel Effective Time”), each share of capital stock of OpenReel issued and outstanding immediately prior to the OpenReel Effective Time, was converted into the right to receive Company Class A Common Stock, par value $0.0001 per share, and pre-funded warrants, each exercisable for one (1) share of Company Class A Common Stock at an exercise price of $0.0001 (the “Pre-Funded Warrants”), issued in lieu thereof, in an amount equal to the quotient of $19,600,000 divided by the Conversion Price (the “Conversion Price” defined as the 10-day VWAP (“volume weighted average price”), provided that in no event shall the Conversion Price be less than $1.50 or more than $2.25) (the “OpenReel Merger Consideration).</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OpenReel Merger Consideration consisted of an aggregate of 930,558 shares of Company Class A Common Stock, 11,769,501 Pre-Funded Warrants, and in connection with and as a condition to closing under the OpenReel Merger, the issuance of one (1) share of series FE preferred stock, par value $0.0001 per share (the “Series FE Preferred Stock”) to one of the OpenReel Stockholders, FE IV OR Aggregator, LLC. The Pre-Funded Warrants are exercisable immediately upon issuance and terminate when the Pre-Funded Warrants are exercised in full.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above, on December 18, 2024, the Company issued 11,769,501 Pre-Funded Warrants and 1 share of Series FE Preferred Stock, which did not meet the definition of a liability pursuant to ASC 480 and met all of the requirements for equity classification under ASC 815. As such these were classified in stockholder's equity. The measurement of fair value of the Pre-Funded Warrants were determined as the intrinsic value calculated as the common stock price on the issuance date minus the exercise price. The relative fair value of these Pre-Funded Warrants, net of issuance costs, on date of issuance was estimated to be approximately $19,300,805 and is reflected within additional paid-in capital. The measurement of fair value of the Series FE Preferred Stock was determined based on the common stock price on the issuance date, and the relative fair value of the Series FE Preferred Stock was determined to be $0 on the acquisition date based on the terms of the Preferred Stock, as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transaction costs of $209,085 which are included in the Company’s consolidated statement of operations.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OpenReel Merger was accounted for as a business combination under the acquisition method pursuant to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$20,826,920 summarized as follows:</w:t>
      </w:r>
    </w:p>
    <w:p>
      <w:pPr>
        <w:sectPr>
          <w:pgSz w:w="11900" w:h="16838" w:orient="portrait"/>
          <w:cols w:equalWidth="0" w:num="1">
            <w:col w:w="11240"/>
          </w:cols>
          <w:pgMar w:left="320" w:top="1269" w:right="339" w:bottom="1440" w:gutter="0" w:footer="0" w:header="0"/>
        </w:sectPr>
      </w:pP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issued to OpenReel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Pre-Funded warrants issued to OpenReel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Preferred Stock issued to OpenReel Stockholder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consideration paid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145" w:hanging="1145"/>
        <w:spacing w:after="0"/>
        <w:tabs>
          <w:tab w:leader="none" w:pos="11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1,526,115</w:t>
      </w:r>
    </w:p>
    <w:p>
      <w:pPr>
        <w:spacing w:after="0" w:line="27" w:lineRule="exact"/>
        <w:rPr>
          <w:rFonts w:ascii="Times New Roman" w:cs="Times New Roman" w:eastAsia="Times New Roman" w:hAnsi="Times New Roman"/>
          <w:sz w:val="18"/>
          <w:szCs w:val="18"/>
          <w:color w:val="auto"/>
        </w:rPr>
      </w:pPr>
    </w:p>
    <w:p>
      <w:pPr>
        <w:ind w:left="10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19,300,805</w:t>
      </w:r>
    </w:p>
    <w:p>
      <w:pPr>
        <w:spacing w:after="0" w:line="9" w:lineRule="exact"/>
        <w:rPr>
          <w:rFonts w:ascii="Times New Roman" w:cs="Times New Roman" w:eastAsia="Times New Roman" w:hAnsi="Times New Roman"/>
          <w:sz w:val="18"/>
          <w:szCs w:val="18"/>
          <w:color w:val="auto"/>
        </w:rPr>
      </w:pPr>
    </w:p>
    <w:p>
      <w:pPr>
        <w:ind w:left="16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45" w:hanging="1045"/>
        <w:spacing w:after="0"/>
        <w:tabs>
          <w:tab w:leader="none" w:pos="10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20,826,920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2687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3">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12687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4">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35" w:space="720"/>
            <w:col w:w="1985"/>
          </w:cols>
          <w:pgMar w:left="320" w:top="1269" w:right="339" w:bottom="1440" w:gutter="0" w:footer="0" w:header="0"/>
          <w:type w:val="continuous"/>
        </w:sectPr>
      </w:pPr>
    </w:p>
    <w:p>
      <w:pPr>
        <w:spacing w:after="0" w:line="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made a provisional allocation of the purchase price of the OpenReel Merger to the assets acquired and liabilities assumed as of the acquisition date. The following table summarizes the provisional purchase price allocation relating to the OpenReel Merger: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82,219</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865,562</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103,343</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3,607</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OpenReel - Customer relationships</w:t>
            </w: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588,710</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OpenReel - Trade name</w:t>
            </w:r>
          </w:p>
        </w:tc>
        <w:tc>
          <w:tcPr>
            <w:tcW w:w="5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899,600</w:t>
            </w: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OpenReel - Technology</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2,415,010</w:t>
            </w:r>
          </w:p>
        </w:tc>
      </w:tr>
      <w:tr>
        <w:trPr>
          <w:trHeight w:val="209"/>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4,958,051</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330,602</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120,408</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 current</w:t>
            </w:r>
          </w:p>
        </w:tc>
        <w:tc>
          <w:tcPr>
            <w:tcW w:w="5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2,726,846</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222,581</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 non-current</w:t>
            </w:r>
          </w:p>
        </w:tc>
        <w:tc>
          <w:tcPr>
            <w:tcW w:w="5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107,070</w:t>
            </w: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Parent</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150,033</w:t>
            </w:r>
          </w:p>
        </w:tc>
      </w:tr>
      <w:tr>
        <w:trPr>
          <w:trHeight w:val="210"/>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3,657,540</w:t>
            </w:r>
          </w:p>
        </w:tc>
      </w:tr>
      <w:tr>
        <w:trPr>
          <w:trHeight w:val="20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1,300,511</w:t>
            </w:r>
          </w:p>
        </w:tc>
      </w:tr>
      <w:tr>
        <w:trPr>
          <w:trHeight w:val="21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recorded:</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19,526,409</w:t>
            </w:r>
          </w:p>
        </w:tc>
      </w:tr>
      <w:tr>
        <w:trPr>
          <w:trHeight w:val="20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20,826,920</w:t>
            </w:r>
          </w:p>
        </w:tc>
      </w:tr>
      <w:tr>
        <w:trPr>
          <w:trHeight w:val="20"/>
        </w:trPr>
        <w:tc>
          <w:tcPr>
            <w:tcW w:w="9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We believe that in this acquisition goodwill represents the value of OpenReel's existing products and customers, combined with the added business synergies of integrating with the existing Banzai products and customer base.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these consolidated financial statements were issued, the purchase accounting related to this acquisition was incomplete as the valuation of certain items, for example, certain working capital balances, were not yet finalized. The Company has reflected the provisional amounts in these consolidated financial statements. As such, the above balances may be adjusted in a future period, not to exceed one (1) year from the acquisition date pursuant to ASC 805, as the valuation is finalized and these adjustments may be material to the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intangible assets acquired are subject to amortization and their associated estimated acquisition date fair values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80" w:type="dxa"/>
            <w:vAlign w:val="bottom"/>
          </w:tcPr>
          <w:p>
            <w:pPr>
              <w:spacing w:after="0"/>
              <w:rPr>
                <w:sz w:val="18"/>
                <w:szCs w:val="18"/>
                <w:color w:val="auto"/>
              </w:rPr>
            </w:pP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Acquisition Date</w:t>
            </w:r>
          </w:p>
        </w:tc>
      </w:tr>
      <w:tr>
        <w:trPr>
          <w:trHeight w:val="23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80" w:type="dxa"/>
            <w:vAlign w:val="bottom"/>
          </w:tcPr>
          <w:p>
            <w:pPr>
              <w:spacing w:after="0"/>
              <w:rPr>
                <w:sz w:val="20"/>
                <w:szCs w:val="20"/>
                <w:color w:val="auto"/>
              </w:rPr>
            </w:pPr>
          </w:p>
        </w:tc>
        <w:tc>
          <w:tcPr>
            <w:tcW w:w="2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OpenReel - Customer Relationships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2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588,710</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OpenReel - Trade name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899,600</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OpenReel - Technology</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2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2,415,010</w:t>
            </w: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in the Consolidated Statement of Operations for the twelve months ended December 31, 2024 includes net income of OpenReel from the date of acquisition to December 31, 2024 of approximately $32 thousand.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disclosure for the OpenReel acquisition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with OpenReel had taken place on January 1, 2023. The pro forma results presented are the result of combining the revenues and earnings of the Company with the revenues and earnings of OpenReel. The Company did not have any material, non-recurring pro forma adjustments directly attributable to the business combination included in the reported pro forma revenue.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not necessarily indicative of the results of operations as they would have been had the transactions been effected on the assumed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0"/>
        </w:trPr>
        <w:tc>
          <w:tcPr>
            <w:tcW w:w="69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10,604,538</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12,081,328</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2,254,010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2,519,147</w:t>
            </w:r>
          </w:p>
        </w:tc>
      </w:tr>
      <w:tr>
        <w:trPr>
          <w:trHeight w:val="21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21,778,659</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20,544,964</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42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18,061,763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4,662,025</w:t>
            </w:r>
          </w:p>
        </w:tc>
      </w:tr>
      <w:tr>
        <w:trPr>
          <w:trHeight w:val="216"/>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 attributable to common stockholders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(31,489,894 )</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(15,644,808 )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7GC Related Party Promissory Notes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21, 2022, 7GC issued an unsecured promissory note (the "December 2022 7GC Note") to the Sponsor, 7GC &amp; Co. Holdings LLC, which provides for borrowings from time to time of up to an aggregate of $2,300,000. The December 2022 7GC Note does not bear interest. Upon the consummation of a Business Combination, the Sponsor shall have the option, but not the obligation, to convert the principal balance of the December 2022 7GC Note, in whole or in part, into that number of shares of Class A common stock, $0.0001 par value per share, of 7GC (the “Converted Shares”) equal to the principal amount of the December 2022 7GC Note so converted divided by $10.00.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 2023, 7GC issued an additional unsecured promissory note (the "October 2023 7GC Note", together with the December 2022 7GC Note, the</w:t>
      </w:r>
    </w:p>
    <w:p>
      <w:pPr>
        <w:spacing w:after="0" w:line="27" w:lineRule="exact"/>
        <w:rPr>
          <w:sz w:val="20"/>
          <w:szCs w:val="20"/>
          <w:color w:val="auto"/>
        </w:rPr>
      </w:pPr>
    </w:p>
    <w:p>
      <w:pPr>
        <w:jc w:val="both"/>
        <w:ind w:firstLine="8"/>
        <w:spacing w:after="0" w:line="253" w:lineRule="auto"/>
        <w:tabs>
          <w:tab w:leader="none" w:pos="1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7GC Promissory Notes") to the Sponsor, which provides for borrowings from time to time of up to an aggregate of $500,000 for working capital purposes. The October 2023 7GC Note does not bear interest. Upon the consummation of a Business Combination, the Sponsor shall have the option, but not the obligation, to convert the principal balance of the October 2023 7GC Note, in whole or in part, into that number of the Converted Shares, equal to the principal amount of the October 2023 7GC Note so converted divided by $10.00.</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Closing of the Merger, Banzai assumed the 7GC Promissory Notes which subsequently converted on February 2, 2024. At the date of conversion, the total balance of the Notes converted was $2,540,092.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7GC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Sponsor paid certain expenses on behalf of 7GC. Upon Closing of the Merger, Banzai assumed the $67,118 liability. As of December 31, 2024, the entire balance remained outstanding and is included within due to related party under current liabilities on the accompanying consolidated balance sheet.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Banzai Related Party Transactions</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During 2023, Legacy Banzai issued Promissory Notes and Convertible Notes to related parties. See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xml:space="preserve"> for further details related to these transactions and associated balances.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Conversion Agreement with Alco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September 19, 2024, the Company and Alco agreed to convert the outstanding balance of all debt owing to Alco, into equity in the form of common stock, common stock warrants and pre-funded warrants. See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18 - Equity</w:t>
      </w:r>
      <w:r>
        <w:rPr>
          <w:rFonts w:ascii="Times New Roman" w:cs="Times New Roman" w:eastAsia="Times New Roman" w:hAnsi="Times New Roman"/>
          <w:sz w:val="18"/>
          <w:szCs w:val="18"/>
          <w:color w:val="auto"/>
        </w:rPr>
        <w:t>, for further details related to the transaction and associated balances.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CPBF</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18 - Equity</w:t>
      </w:r>
      <w:r>
        <w:rPr>
          <w:rFonts w:ascii="Times New Roman" w:cs="Times New Roman" w:eastAsia="Times New Roman" w:hAnsi="Times New Roman"/>
          <w:sz w:val="18"/>
          <w:szCs w:val="18"/>
          <w:color w:val="auto"/>
        </w:rPr>
        <w:t>, for further details related to the transaction and associated balances.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Company CEO</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2024, the CEO of the Company loaned the Company an advance of $100,000. The advance is non-interest bearing, and matures one year from issuance. As of December 31, 2024, the entire balance remained outstanding and is included within due to related party under current liabilities on the accompanying consolidated balance sheet.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ASC 606, revenue is recognized throughout the life of the executed agreement. The Company measures revenue based on considerations specified in terms and conditions agreed to by a customer. Furthermore, the Company recognizes revenue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services include providing end-to-end video engagement solutions that provide a fast, intuitive and powerful platform of marketing tools that create more intent-driven videos, webinars, virtual events and other digital and in-person marketing campaigns.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within the SOW’s and invoices, agreements range from monthly, to annual, to multi-year and Banzai generally provides for net 30-day payment terms with the payment made directly through check or electronic means.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Banzai’s Management believes its exposure to credit risk is sufficiently mitigated by collection through credit card sales or direct payment from established clients.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the provisions of ASC 606, under which the Company recognizes revenue when the customer obtains control of promised goods or services, in an amount that reflects the consideration which is expected to be received in exchange for those goods or services. The Company recognize revenues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Sales, value add, and other taxes collected on behalf of third parties are excluded from revenue.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Trade Revenue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customer for which the customer is also a vendor. For this one customer, the Company exchanged services for approximately $239,000 and $375,000, during the years ended December 31,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9"/>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09"/>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2,564,074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2,677,050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1,492,561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1,511,886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471,244</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372,364</w:t>
            </w:r>
          </w:p>
        </w:tc>
        <w:tc>
          <w:tcPr>
            <w:tcW w:w="1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4,527,879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4,561,300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Closing</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38"/>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1/1/2023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12/31/2023</w:t>
            </w:r>
          </w:p>
        </w:tc>
      </w:tr>
      <w:tr>
        <w:trPr>
          <w:trHeight w:val="20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105,049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936,321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68,416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105,049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the principal costs incurred to obtain a contract, are earned when the contract is executed. Management has capitalized these costs and amortized the commission expense over time in accordance with the related contract's term. For the years ended December 31, 2024 and 2023, commission expenses were $270,335 and $299,450,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commissions at the years ended December 31, 2024 and 2023 were $31,504 and $51,472, respectively, and are included within prepaid expenses and other current assets on the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costs to obtain a contract activity during the years ended December 31, 2024 and 2023:</w:t>
            </w: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9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69,737</w:t>
            </w:r>
          </w:p>
        </w:tc>
      </w:tr>
      <w:tr>
        <w:trPr>
          <w:trHeight w:val="21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6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242,810</w:t>
            </w:r>
          </w:p>
        </w:tc>
      </w:tr>
      <w:tr>
        <w:trPr>
          <w:trHeight w:val="21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6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(261,075 )</w:t>
            </w:r>
          </w:p>
        </w:tc>
      </w:tr>
      <w:tr>
        <w:trPr>
          <w:trHeight w:val="20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6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51,472</w:t>
            </w:r>
          </w:p>
        </w:tc>
      </w:tr>
      <w:tr>
        <w:trPr>
          <w:trHeight w:val="216"/>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Commissions Incurred</w:t>
            </w:r>
          </w:p>
        </w:tc>
        <w:tc>
          <w:tcPr>
            <w:tcW w:w="6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180,141</w:t>
            </w:r>
          </w:p>
        </w:tc>
      </w:tr>
      <w:tr>
        <w:trPr>
          <w:trHeight w:val="216"/>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(200,109 )</w:t>
            </w: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31,504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December 31, 2024 and the year ended December 31, 2023. The carrying amount of accounts payable approximated fair value as they are short term in nature.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liabilities, GEM warrant liabilities, Yorkville convertible note, SAFE, Agile term notes and 1800 Diagonal convertible notes represent Level 3 measurements.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December 31, 2024 and December 31, 2023, and indicates the fair value hierarchy of the valuation inputs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$3,903,320</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$3,883,853</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 OpenReel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$19,526,409</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$18,972,475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$2,171,526</w:t>
            </w: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GEM warrant liabilities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$641,000</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$1,766,000</w:t>
            </w: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Agile term notes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$3,143,000</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$432,000</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assets measured at the acquisition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Measured at year-end impairment testing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assumed Public Warrants in the Merger, exercisable into 230,000 shares of Common A Common Stock, which were outstanding as of December 31, 2024 and December 31, 2023. The fair values of the Public Warrants are measured based on the listed market price of such warrants through December 31, 2024. See </w:t>
      </w:r>
      <w:r>
        <w:rPr>
          <w:rFonts w:ascii="Times New Roman" w:cs="Times New Roman" w:eastAsia="Times New Roman" w:hAnsi="Times New Roman"/>
          <w:sz w:val="18"/>
          <w:szCs w:val="18"/>
          <w:i w:val="1"/>
          <w:iCs w:val="1"/>
          <w:color w:val="auto"/>
        </w:rPr>
        <w:t>Note 15 - Warrant Liabilities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recognized a gain of approximately $572,700 resulting from changes in the fair value of the derivative warrant liabilities, presented as change in fair value of warrant liabilities - related party in the accompanying condensed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Public Warrants liability which are Level 1 financial liabilities that are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575,000</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(572,700 )</w:t>
            </w: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 w:cs="Times New Roman" w:eastAsia="Times New Roman" w:hAnsi="Times New Roman"/>
          <w:sz w:val="18"/>
          <w:szCs w:val="18"/>
          <w:i w:val="1"/>
          <w:iCs w:val="1"/>
          <w:color w:val="auto"/>
        </w:rPr>
        <w:t>Note 15 - Warrant Liabilities</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recognized a gain of approximately $626,000, resulting from changes in the fair value of the derivative warrant liabilities, presented as change in fair value of warrant liabilities in the accompanying condensed consolidated statements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GEM Warrants liability which are Level 3 financial liabilities that are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641,000</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(626,000 )</w:t>
            </w: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(i.e., share price, term, volatility, risk-free rate, and probability of optional redemption). Refer to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xml:space="preserve"> for further details.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recognized a loss of approximately $693,000 resulting from changes in the fair value of the Yorkville convertible notes, presented as change in fair value of convertible promissory notes in the accompanying condensed consolidated statements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Yorkville convertible notes which is a Level 3 financial liability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1,766,000</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Yorkville convertible note</w:t>
            </w:r>
          </w:p>
        </w:tc>
        <w:tc>
          <w:tcPr>
            <w:tcW w:w="3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2,250,000</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171,000</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in shares to settle Yorkville convertible notes</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(4,130,000 )</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(750,000 )</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693,000</w:t>
            </w: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Assets and Liabilities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fair value of the embedded put options, relating to the Convertible Notes - Related Party, Convertible Notes, and Term and Convertible Notes (CP BF)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On December 14, 2023, all outstanding principal and accrued interest, including the carrying value of any related embedded derivative, related to the Related Party Convertible Notes and Third Party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4" w:name="page125"/>
    <w:bookmarkEnd w:id="124"/>
    <w:p>
      <w:pPr>
        <w:jc w:val="both"/>
        <w:spacing w:after="0" w:line="282" w:lineRule="auto"/>
        <w:rPr>
          <w:sz w:val="20"/>
          <w:szCs w:val="20"/>
          <w:color w:val="auto"/>
        </w:rPr>
      </w:pPr>
      <w:r>
        <w:rPr>
          <w:rFonts w:ascii="Times New Roman" w:cs="Times New Roman" w:eastAsia="Times New Roman" w:hAnsi="Times New Roman"/>
          <w:sz w:val="18"/>
          <w:szCs w:val="18"/>
          <w:color w:val="auto"/>
        </w:rPr>
        <w:t>Convertible Notes converted into the Company’s Class A Common Stock pursuant to the close of the Merger Agreement, terminating the embedded derivative.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bifurcated embedded derivative liabilities for the year ended December 31, 2023, related to the Related Party and Third Party Convertible Debt, respectively, which are Level 3 financial liabilities that are measured at fair value on a recurring basis: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Borders>
              <w:bottom w:val="single" w:sz="8" w:color="auto"/>
            </w:tcBorders>
          </w:tcPr>
          <w:p>
            <w:pPr>
              <w:spacing w:after="0"/>
              <w:rPr>
                <w:sz w:val="20"/>
                <w:szCs w:val="20"/>
                <w:color w:val="auto"/>
              </w:rPr>
            </w:pPr>
          </w:p>
        </w:tc>
      </w:tr>
      <w:tr>
        <w:trPr>
          <w:trHeight w:val="209"/>
        </w:trPr>
        <w:tc>
          <w:tcPr>
            <w:tcW w:w="7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1,936,827</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845,473</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 with bifurcated embedded derivative</w:t>
            </w: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1,126,451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559,390</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(3,063,278 )</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(1,404,863 )</w:t>
            </w: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fair value of the embedded put options, relating to the Convertible Note to CP BF issued on September 23,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The bifurcated embedded derivative net asset was $63,000 as of December 31, 2024. Refer to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xml:space="preserve"> for further details.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bifurcated embedded derivative asset for the year ended December 31, 2024, relating to the Convertible Note to CP BF issued on September 23, 2024, which are Level 3 financial liabilities that are measured at fair value on a recurring basis: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9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CP BF Convertible</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convertible notes with bifurcated embedded derivative asset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51,000</w:t>
            </w: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 (SAFE)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During 2021, the Company entered into Simple Agreements for Future Equity (SAFE) arrangements (the "SAFEs"). In the event of an Equity Financing (as defined in the SAFEs agreements), the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SAFEs will be entitled to receive cash or shares of the Company’s common or preferred stock. The number of shares required to be issued to settle the SAFEs at the equity financing is variable, because that number will be determined by the discounted fair value of the Company's equity shares on the date of settlement (i.e., Discount Price). Regardless of the fair value of the shares on the date of settlement, the holder will receive a fixed monetary value based on the Purchase Amount of the SAFE. If there is a Liquidity Event or SPAC Transaction before the settlement or termination of the SAFEs, the SAFEs will automatically be entitled to receive a portion of Proceeds, due and payable immediately prior to, or concurrent with, the consummation of such Liquidity Event or SPAC Transaction, equal to the greater of (i) two times (2x) the Purchase Amount (the “Cash-Out Amount”) or (ii) the amount payable on the number of shares of Common Stock equal to the Purchase Amount divided by the Liquidity Price (as defined in the SAFEs agreements). Refer to </w:t>
      </w:r>
      <w:r>
        <w:rPr>
          <w:rFonts w:ascii="Times New Roman" w:cs="Times New Roman" w:eastAsia="Times New Roman" w:hAnsi="Times New Roman"/>
          <w:sz w:val="18"/>
          <w:szCs w:val="18"/>
          <w:i w:val="1"/>
          <w:iCs w:val="1"/>
          <w:color w:val="auto"/>
        </w:rPr>
        <w:t>Note 16 - Simple Agreements for Future Equity</w:t>
      </w:r>
      <w:r>
        <w:rPr>
          <w:rFonts w:ascii="Times New Roman" w:cs="Times New Roman" w:eastAsia="Times New Roman" w:hAnsi="Times New Roman"/>
          <w:sz w:val="18"/>
          <w:szCs w:val="18"/>
          <w:color w:val="auto"/>
        </w:rPr>
        <w:t xml:space="preserve"> for additional information related to the Company's SAFEs.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the SAFEs was determined using a scenario-based method for the pre-modification SAFE's and a Monte Carlo simulation method for the post-modification SAFEs. The value of the SAFE liability as of December 31, 2023 is based on significant inputs not observable in the market, which represents a Level 3 measurement within the fair value hierarchy. The fair value of the SAFEs on the date of issuance was determined to be $3,836,000. On December 14, 2023, all outstanding principal related to the Third Party SAFEs and Related Party SAFEs converted into the Company’s Class A Common Stock pursuant to the close of the Merger Agreement. Upon the conversion described above, the SAFEs were $0 as of December 31, 2024 and December 31, 2023, respectively. Refer to </w:t>
      </w:r>
      <w:r>
        <w:rPr>
          <w:rFonts w:ascii="Times New Roman" w:cs="Times New Roman" w:eastAsia="Times New Roman" w:hAnsi="Times New Roman"/>
          <w:sz w:val="18"/>
          <w:szCs w:val="18"/>
          <w:i w:val="1"/>
          <w:iCs w:val="1"/>
          <w:color w:val="auto"/>
        </w:rPr>
        <w:t>Note 16 - Simple Agreements for Future Equity</w:t>
      </w:r>
      <w:r>
        <w:rPr>
          <w:rFonts w:ascii="Times New Roman" w:cs="Times New Roman" w:eastAsia="Times New Roman" w:hAnsi="Times New Roman"/>
          <w:sz w:val="18"/>
          <w:szCs w:val="18"/>
          <w:color w:val="auto"/>
        </w:rPr>
        <w:t xml:space="preserve"> for further details.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25" w:name="page126"/>
    <w:bookmarkEnd w:id="125"/>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tables set forth a summary of the activity of the Related Party and Third Party SAFE liabilities, respectively (See </w:t>
      </w:r>
      <w:r>
        <w:rPr>
          <w:rFonts w:ascii="Times New Roman" w:cs="Times New Roman" w:eastAsia="Times New Roman" w:hAnsi="Times New Roman"/>
          <w:sz w:val="18"/>
          <w:szCs w:val="18"/>
          <w:i w:val="1"/>
          <w:iCs w:val="1"/>
          <w:color w:val="auto"/>
        </w:rPr>
        <w:t>Note 16 - 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for Future Equity </w:t>
      </w:r>
      <w:r>
        <w:rPr>
          <w:rFonts w:ascii="Times New Roman" w:cs="Times New Roman" w:eastAsia="Times New Roman" w:hAnsi="Times New Roman"/>
          <w:sz w:val="18"/>
          <w:szCs w:val="18"/>
          <w:color w:val="auto"/>
        </w:rPr>
        <w:t>for further detail), which represents a recurring fair value measurement at the end of the relevant reporting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Borders>
              <w:bottom w:val="single" w:sz="8" w:color="auto"/>
            </w:tcBorders>
          </w:tcPr>
          <w:p>
            <w:pPr>
              <w:spacing w:after="0"/>
              <w:rPr>
                <w:sz w:val="20"/>
                <w:szCs w:val="20"/>
                <w:color w:val="auto"/>
              </w:rPr>
            </w:pPr>
          </w:p>
        </w:tc>
      </w:tr>
      <w:tr>
        <w:trPr>
          <w:trHeight w:val="209"/>
        </w:trPr>
        <w:tc>
          <w:tcPr>
            <w:tcW w:w="7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8,802,196</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663,804</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(2,752,430 )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(207,570 )</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on SAFEs</w:t>
            </w: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(6,049,766 )</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(456,234 )</w:t>
            </w: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-187960</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Notes (Agile)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22, 2024, September 13, 2024, and December 12, 2024, the Company entered into term loan promissory note agreements with Agile Lending, LLC, and Agile Capital Funding, LLC, as the collateral agent, as discussed further in Note 14 of the notes to the consolidated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December 31, 2024. The Company classified the Agile Term Notes as a Level 3 fair value measurement and used a discounted cash flow model to calculate the fair values as of July 22, 2024, September 13, 2024, and December 12, 2024, respectively, and for each subsequent reporting period. Key inputs for the valuation are summarized below. The discounted cash flow model uses inputs such as the contractual term of the note and a market participant interest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key inputs at issuance of the Agile term notes and for the period ended December 31,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July Agile Note</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Agile Note</w:t>
            </w:r>
          </w:p>
        </w:tc>
        <w:tc>
          <w:tcPr>
            <w:tcW w:w="10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Agile Note</w:t>
            </w:r>
          </w:p>
        </w:tc>
        <w:tc>
          <w:tcPr>
            <w:tcW w:w="0" w:type="dxa"/>
            <w:vAlign w:val="bottom"/>
          </w:tcPr>
          <w:p>
            <w:pPr>
              <w:spacing w:after="0"/>
              <w:rPr>
                <w:sz w:val="1"/>
                <w:szCs w:val="1"/>
                <w:color w:val="auto"/>
              </w:rPr>
            </w:pPr>
          </w:p>
        </w:tc>
      </w:tr>
      <w:tr>
        <w:trPr>
          <w:trHeight w:val="186"/>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0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10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 12,</w:t>
            </w:r>
          </w:p>
        </w:tc>
        <w:tc>
          <w:tcPr>
            <w:tcW w:w="12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8"/>
        </w:trPr>
        <w:tc>
          <w:tcPr>
            <w:tcW w:w="2780" w:type="dxa"/>
            <w:vAlign w:val="bottom"/>
            <w:vMerge w:val="continue"/>
          </w:tcPr>
          <w:p>
            <w:pPr>
              <w:spacing w:after="0"/>
              <w:rPr>
                <w:sz w:val="18"/>
                <w:szCs w:val="18"/>
                <w:color w:val="auto"/>
              </w:rPr>
            </w:pPr>
          </w:p>
        </w:tc>
        <w:tc>
          <w:tcPr>
            <w:tcW w:w="2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July 22, 2024</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12, 2024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13, 2024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12, 2024</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term (years)</w:t>
            </w:r>
          </w:p>
        </w:tc>
        <w:tc>
          <w:tcPr>
            <w:tcW w:w="204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0.55</w:t>
            </w: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0.48</w:t>
            </w:r>
          </w:p>
        </w:tc>
        <w:tc>
          <w:tcPr>
            <w:tcW w:w="114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0.43</w:t>
            </w:r>
          </w:p>
        </w:tc>
        <w:tc>
          <w:tcPr>
            <w:tcW w:w="13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0.61</w:t>
            </w:r>
          </w:p>
        </w:tc>
        <w:tc>
          <w:tcPr>
            <w:tcW w:w="14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14.37 %</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7"/>
              </w:rPr>
              <w:t>9.33 %</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4"/>
              </w:rPr>
              <w:t>9.48 %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10.13 %</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for a summary of the changes in the fair value of the Agile term notes which is a Level 3 financial liability measured at fair value on a recurring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(1800 Diagonal)</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16, 2024, September 24, 2024, and December 10, 2024, the Company entered into convertible promissory notes with 1800 Diagonal Lending, LLC, as discussed further in Note 14 of the notes to the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December 31, 2024. The Company classified the Notes as a Level 3 fair value measurement and used the Black-Scholes option pricing model to calculate the fair values as of August 16, 2024, September 24, 2024, and December 10, 2024, respectively and for each subsequent reporting period. Key inputs for the simulation are summarized below. The Black-Scholes simulation uses inputs such as the stock price, volatility, the contractual term of the note, risk free interest rates and dividend yields.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range of key inputs for the Black-Scholes simulations at issuance of the 1800 Diagonal convertible notes and for the year ended December 31, 2024, were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August 1800 Diagonal Note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1800 Diagonal Note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1800 Diagonal Note</w:t>
            </w:r>
          </w:p>
        </w:tc>
      </w:tr>
      <w:tr>
        <w:trPr>
          <w:trHeight w:val="187"/>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August 16,</w:t>
            </w:r>
          </w:p>
        </w:tc>
        <w:tc>
          <w:tcPr>
            <w:tcW w:w="100" w:type="dxa"/>
            <w:vAlign w:val="bottom"/>
          </w:tcPr>
          <w:p>
            <w:pPr>
              <w:spacing w:after="0"/>
              <w:rPr>
                <w:sz w:val="16"/>
                <w:szCs w:val="16"/>
                <w:color w:val="auto"/>
              </w:rPr>
            </w:pPr>
          </w:p>
        </w:tc>
        <w:tc>
          <w:tcPr>
            <w:tcW w:w="1440" w:type="dxa"/>
            <w:vAlign w:val="bottom"/>
            <w:gridSpan w:val="2"/>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1500" w:type="dxa"/>
            <w:vAlign w:val="bottom"/>
            <w:gridSpan w:val="2"/>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December 10,</w:t>
            </w:r>
          </w:p>
        </w:tc>
        <w:tc>
          <w:tcPr>
            <w:tcW w:w="120" w:type="dxa"/>
            <w:vAlign w:val="bottom"/>
          </w:tcPr>
          <w:p>
            <w:pPr>
              <w:spacing w:after="0"/>
              <w:rPr>
                <w:sz w:val="16"/>
                <w:szCs w:val="16"/>
                <w:color w:val="auto"/>
              </w:rPr>
            </w:pPr>
          </w:p>
        </w:tc>
        <w:tc>
          <w:tcPr>
            <w:tcW w:w="1360" w:type="dxa"/>
            <w:vAlign w:val="bottom"/>
            <w:gridSpan w:val="2"/>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5.58</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8.24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(years)</w:t>
            </w:r>
          </w:p>
        </w:tc>
        <w:tc>
          <w:tcPr>
            <w:tcW w:w="12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16"/>
        </w:trPr>
        <w:tc>
          <w:tcPr>
            <w:tcW w:w="19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16"/>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Maturity probability</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probability</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170" w:lineRule="exact"/>
        <w:rPr>
          <w:sz w:val="20"/>
          <w:szCs w:val="20"/>
          <w:color w:val="auto"/>
        </w:rPr>
      </w:pPr>
    </w:p>
    <w:p>
      <w:pPr>
        <w:ind w:left="200" w:hanging="192"/>
        <w:spacing w:after="0"/>
        <w:tabs>
          <w:tab w:leader="none" w:pos="200" w:val="left"/>
        </w:tabs>
        <w:numPr>
          <w:ilvl w:val="0"/>
          <w:numId w:val="7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utilized historical equity volatility in measurement of the fair value of the notes.</w:t>
      </w:r>
    </w:p>
    <w:p>
      <w:pPr>
        <w:spacing w:after="0" w:line="19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for a summary of the changes in the fair value of the 1800 Diagonal convertible notes which is a Level 3 financial liability measured at fair value on a recurring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including Definite-Lived Intangibles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inputs used in our level 3 fair value measurement of business combinations, including definite-lived intangibles at the acquisition date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5</w:t>
      </w:r>
      <w:r>
        <w:rPr>
          <w:rFonts w:ascii="Times New Roman" w:cs="Times New Roman" w:eastAsia="Times New Roman" w:hAnsi="Times New Roman"/>
          <w:sz w:val="18"/>
          <w:szCs w:val="18"/>
          <w:color w:val="auto"/>
        </w:rPr>
        <w:t>) are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333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Area</w:t>
            </w:r>
          </w:p>
        </w:tc>
        <w:tc>
          <w:tcPr>
            <w:tcW w:w="2590" w:type="dxa"/>
            <w:vAlign w:val="bottom"/>
          </w:tcPr>
          <w:p>
            <w:pPr>
              <w:ind w:left="510"/>
              <w:spacing w:after="0"/>
              <w:rPr>
                <w:sz w:val="20"/>
                <w:szCs w:val="20"/>
                <w:color w:val="auto"/>
              </w:rPr>
            </w:pPr>
            <w:r>
              <w:rPr>
                <w:rFonts w:ascii="Times New Roman" w:cs="Times New Roman" w:eastAsia="Times New Roman" w:hAnsi="Times New Roman"/>
                <w:sz w:val="18"/>
                <w:szCs w:val="18"/>
                <w:b w:val="1"/>
                <w:bCs w:val="1"/>
                <w:color w:val="auto"/>
              </w:rPr>
              <w:t>Valuation Techniques</w:t>
            </w:r>
          </w:p>
        </w:tc>
        <w:tc>
          <w:tcPr>
            <w:tcW w:w="2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33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Combination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p>
        </w:tc>
        <w:tc>
          <w:tcPr>
            <w:tcW w:w="2590" w:type="dxa"/>
            <w:vAlign w:val="bottom"/>
            <w:tcBorders>
              <w:top w:val="single" w:sz="8" w:color="auto"/>
            </w:tcBorders>
            <w:shd w:val="clear" w:color="auto" w:fill="CFF0FC"/>
          </w:tcPr>
          <w:p>
            <w:pPr>
              <w:ind w:left="170"/>
              <w:spacing w:after="0"/>
              <w:rPr>
                <w:sz w:val="20"/>
                <w:szCs w:val="20"/>
                <w:color w:val="auto"/>
              </w:rPr>
            </w:pPr>
            <w:r>
              <w:rPr>
                <w:rFonts w:ascii="Times New Roman" w:cs="Times New Roman" w:eastAsia="Times New Roman" w:hAnsi="Times New Roman"/>
                <w:sz w:val="18"/>
                <w:szCs w:val="18"/>
                <w:color w:val="auto"/>
              </w:rPr>
              <w:t>Various *</w:t>
            </w:r>
          </w:p>
        </w:tc>
        <w:tc>
          <w:tcPr>
            <w:tcW w:w="278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Growth rate</w:t>
            </w:r>
          </w:p>
        </w:tc>
        <w:tc>
          <w:tcPr>
            <w:tcW w:w="128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Internal rate of return</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tcPr>
          <w:p>
            <w:pPr>
              <w:spacing w:after="0"/>
              <w:rPr>
                <w:sz w:val="18"/>
                <w:szCs w:val="18"/>
                <w:color w:val="auto"/>
              </w:rPr>
            </w:pPr>
          </w:p>
        </w:tc>
        <w:tc>
          <w:tcPr>
            <w:tcW w:w="259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3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p>
        </w:tc>
        <w:tc>
          <w:tcPr>
            <w:tcW w:w="2590" w:type="dxa"/>
            <w:vAlign w:val="bottom"/>
            <w:shd w:val="clear" w:color="auto" w:fill="CFF0FC"/>
          </w:tcPr>
          <w:p>
            <w:pPr>
              <w:ind w:left="210"/>
              <w:spacing w:after="0"/>
              <w:rPr>
                <w:sz w:val="20"/>
                <w:szCs w:val="20"/>
                <w:color w:val="auto"/>
              </w:rPr>
            </w:pPr>
            <w:r>
              <w:rPr>
                <w:rFonts w:ascii="Times New Roman" w:cs="Times New Roman" w:eastAsia="Times New Roman" w:hAnsi="Times New Roman"/>
                <w:sz w:val="18"/>
                <w:szCs w:val="18"/>
                <w:color w:val="auto"/>
              </w:rPr>
              <w:t>Distributor method</w:t>
            </w: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198"/>
        </w:trPr>
        <w:tc>
          <w:tcPr>
            <w:tcW w:w="3330" w:type="dxa"/>
            <w:vAlign w:val="bottom"/>
            <w:shd w:val="clear" w:color="auto" w:fill="CFF0FC"/>
          </w:tcPr>
          <w:p>
            <w:pPr>
              <w:spacing w:after="0"/>
              <w:rPr>
                <w:sz w:val="17"/>
                <w:szCs w:val="17"/>
                <w:color w:val="auto"/>
              </w:rPr>
            </w:pPr>
          </w:p>
        </w:tc>
        <w:tc>
          <w:tcPr>
            <w:tcW w:w="2590" w:type="dxa"/>
            <w:vAlign w:val="bottom"/>
            <w:shd w:val="clear" w:color="auto" w:fill="CFF0FC"/>
          </w:tcPr>
          <w:p>
            <w:pPr>
              <w:spacing w:after="0"/>
              <w:rPr>
                <w:sz w:val="17"/>
                <w:szCs w:val="17"/>
                <w:color w:val="auto"/>
              </w:rPr>
            </w:pPr>
          </w:p>
        </w:tc>
        <w:tc>
          <w:tcPr>
            <w:tcW w:w="27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Revenue growth attributable to</w:t>
            </w: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4"/>
        </w:trPr>
        <w:tc>
          <w:tcPr>
            <w:tcW w:w="3330" w:type="dxa"/>
            <w:vAlign w:val="bottom"/>
            <w:shd w:val="clear" w:color="auto" w:fill="CFF0FC"/>
          </w:tcPr>
          <w:p>
            <w:pPr>
              <w:spacing w:after="0"/>
              <w:rPr>
                <w:sz w:val="20"/>
                <w:szCs w:val="20"/>
                <w:color w:val="auto"/>
              </w:rPr>
            </w:pPr>
          </w:p>
        </w:tc>
        <w:tc>
          <w:tcPr>
            <w:tcW w:w="2590" w:type="dxa"/>
            <w:vAlign w:val="bottom"/>
            <w:shd w:val="clear" w:color="auto" w:fill="CFF0FC"/>
          </w:tcPr>
          <w:p>
            <w:pPr>
              <w:spacing w:after="0"/>
              <w:rPr>
                <w:sz w:val="20"/>
                <w:szCs w:val="20"/>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exiting customers</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Existing customer attrition</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Distributor EBITA margin</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Contributory asset charges rate</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0.9% - 1.4%</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tcPr>
          <w:p>
            <w:pPr>
              <w:spacing w:after="0"/>
              <w:rPr>
                <w:sz w:val="18"/>
                <w:szCs w:val="18"/>
                <w:color w:val="auto"/>
              </w:rPr>
            </w:pPr>
          </w:p>
        </w:tc>
        <w:tc>
          <w:tcPr>
            <w:tcW w:w="259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3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p>
        </w:tc>
        <w:tc>
          <w:tcPr>
            <w:tcW w:w="2590" w:type="dxa"/>
            <w:vAlign w:val="bottom"/>
            <w:shd w:val="clear" w:color="auto" w:fill="CFF0FC"/>
          </w:tcPr>
          <w:p>
            <w:pPr>
              <w:ind w:left="170"/>
              <w:spacing w:after="0"/>
              <w:rPr>
                <w:sz w:val="20"/>
                <w:szCs w:val="20"/>
                <w:color w:val="auto"/>
              </w:rPr>
            </w:pPr>
            <w:r>
              <w:rPr>
                <w:rFonts w:ascii="Times New Roman" w:cs="Times New Roman" w:eastAsia="Times New Roman" w:hAnsi="Times New Roman"/>
                <w:sz w:val="18"/>
                <w:szCs w:val="18"/>
                <w:color w:val="auto"/>
              </w:rPr>
              <w:t>Relief-from-royalty method</w:t>
            </w: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Royalty rate</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Contributory asset charges rate</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tcPr>
          <w:p>
            <w:pPr>
              <w:spacing w:after="0"/>
              <w:rPr>
                <w:sz w:val="18"/>
                <w:szCs w:val="18"/>
                <w:color w:val="auto"/>
              </w:rPr>
            </w:pPr>
          </w:p>
        </w:tc>
        <w:tc>
          <w:tcPr>
            <w:tcW w:w="259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8"/>
        </w:trPr>
        <w:tc>
          <w:tcPr>
            <w:tcW w:w="333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Technology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p>
        </w:tc>
        <w:tc>
          <w:tcPr>
            <w:tcW w:w="2590" w:type="dxa"/>
            <w:vAlign w:val="bottom"/>
            <w:shd w:val="clear" w:color="auto" w:fill="CFF0FC"/>
          </w:tcPr>
          <w:p>
            <w:pPr>
              <w:ind w:left="170"/>
              <w:spacing w:after="0" w:line="198" w:lineRule="exact"/>
              <w:rPr>
                <w:sz w:val="20"/>
                <w:szCs w:val="20"/>
                <w:color w:val="auto"/>
              </w:rPr>
            </w:pPr>
            <w:r>
              <w:rPr>
                <w:rFonts w:ascii="Times New Roman" w:cs="Times New Roman" w:eastAsia="Times New Roman" w:hAnsi="Times New Roman"/>
                <w:sz w:val="18"/>
                <w:szCs w:val="18"/>
                <w:color w:val="auto"/>
              </w:rPr>
              <w:t>Multi-period excess earnings</w:t>
            </w:r>
          </w:p>
        </w:tc>
        <w:tc>
          <w:tcPr>
            <w:tcW w:w="27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4"/>
        </w:trPr>
        <w:tc>
          <w:tcPr>
            <w:tcW w:w="3330" w:type="dxa"/>
            <w:vAlign w:val="bottom"/>
            <w:shd w:val="clear" w:color="auto" w:fill="CFF0FC"/>
          </w:tcPr>
          <w:p>
            <w:pPr>
              <w:spacing w:after="0"/>
              <w:rPr>
                <w:sz w:val="20"/>
                <w:szCs w:val="20"/>
                <w:color w:val="auto"/>
              </w:rPr>
            </w:pPr>
          </w:p>
        </w:tc>
        <w:tc>
          <w:tcPr>
            <w:tcW w:w="2590" w:type="dxa"/>
            <w:vAlign w:val="bottom"/>
            <w:shd w:val="clear" w:color="auto" w:fill="CFF0FC"/>
          </w:tcPr>
          <w:p>
            <w:pPr>
              <w:ind w:left="170"/>
              <w:spacing w:after="0"/>
              <w:rPr>
                <w:sz w:val="20"/>
                <w:szCs w:val="20"/>
                <w:color w:val="auto"/>
              </w:rPr>
            </w:pPr>
            <w:r>
              <w:rPr>
                <w:rFonts w:ascii="Times New Roman" w:cs="Times New Roman" w:eastAsia="Times New Roman" w:hAnsi="Times New Roman"/>
                <w:sz w:val="18"/>
                <w:szCs w:val="18"/>
                <w:color w:val="auto"/>
              </w:rPr>
              <w:t>method</w:t>
            </w: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198"/>
        </w:trPr>
        <w:tc>
          <w:tcPr>
            <w:tcW w:w="3330" w:type="dxa"/>
            <w:vAlign w:val="bottom"/>
            <w:shd w:val="clear" w:color="auto" w:fill="CFF0FC"/>
          </w:tcPr>
          <w:p>
            <w:pPr>
              <w:spacing w:after="0"/>
              <w:rPr>
                <w:sz w:val="17"/>
                <w:szCs w:val="17"/>
                <w:color w:val="auto"/>
              </w:rPr>
            </w:pPr>
          </w:p>
        </w:tc>
        <w:tc>
          <w:tcPr>
            <w:tcW w:w="2590" w:type="dxa"/>
            <w:vAlign w:val="bottom"/>
            <w:shd w:val="clear" w:color="auto" w:fill="CFF0FC"/>
          </w:tcPr>
          <w:p>
            <w:pPr>
              <w:spacing w:after="0"/>
              <w:rPr>
                <w:sz w:val="17"/>
                <w:szCs w:val="17"/>
                <w:color w:val="auto"/>
              </w:rPr>
            </w:pPr>
          </w:p>
        </w:tc>
        <w:tc>
          <w:tcPr>
            <w:tcW w:w="27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R&amp;D expense for new developed</w:t>
            </w: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4"/>
        </w:trPr>
        <w:tc>
          <w:tcPr>
            <w:tcW w:w="3330" w:type="dxa"/>
            <w:vAlign w:val="bottom"/>
            <w:shd w:val="clear" w:color="auto" w:fill="CFF0FC"/>
          </w:tcPr>
          <w:p>
            <w:pPr>
              <w:spacing w:after="0"/>
              <w:rPr>
                <w:sz w:val="20"/>
                <w:szCs w:val="20"/>
                <w:color w:val="auto"/>
              </w:rPr>
            </w:pPr>
          </w:p>
        </w:tc>
        <w:tc>
          <w:tcPr>
            <w:tcW w:w="2590" w:type="dxa"/>
            <w:vAlign w:val="bottom"/>
            <w:shd w:val="clear" w:color="auto" w:fill="CFF0FC"/>
          </w:tcPr>
          <w:p>
            <w:pPr>
              <w:spacing w:after="0"/>
              <w:rPr>
                <w:sz w:val="20"/>
                <w:szCs w:val="20"/>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198"/>
        </w:trPr>
        <w:tc>
          <w:tcPr>
            <w:tcW w:w="3330" w:type="dxa"/>
            <w:vAlign w:val="bottom"/>
            <w:shd w:val="clear" w:color="auto" w:fill="CFF0FC"/>
          </w:tcPr>
          <w:p>
            <w:pPr>
              <w:spacing w:after="0"/>
              <w:rPr>
                <w:sz w:val="17"/>
                <w:szCs w:val="17"/>
                <w:color w:val="auto"/>
              </w:rPr>
            </w:pPr>
          </w:p>
        </w:tc>
        <w:tc>
          <w:tcPr>
            <w:tcW w:w="2590" w:type="dxa"/>
            <w:vAlign w:val="bottom"/>
            <w:shd w:val="clear" w:color="auto" w:fill="CFF0FC"/>
          </w:tcPr>
          <w:p>
            <w:pPr>
              <w:spacing w:after="0"/>
              <w:rPr>
                <w:sz w:val="17"/>
                <w:szCs w:val="17"/>
                <w:color w:val="auto"/>
              </w:rPr>
            </w:pPr>
          </w:p>
        </w:tc>
        <w:tc>
          <w:tcPr>
            <w:tcW w:w="27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Developed technology obsolescence</w:t>
            </w: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34"/>
        </w:trPr>
        <w:tc>
          <w:tcPr>
            <w:tcW w:w="3330" w:type="dxa"/>
            <w:vAlign w:val="bottom"/>
            <w:shd w:val="clear" w:color="auto" w:fill="CFF0FC"/>
          </w:tcPr>
          <w:p>
            <w:pPr>
              <w:spacing w:after="0"/>
              <w:rPr>
                <w:sz w:val="20"/>
                <w:szCs w:val="20"/>
                <w:color w:val="auto"/>
              </w:rPr>
            </w:pPr>
          </w:p>
        </w:tc>
        <w:tc>
          <w:tcPr>
            <w:tcW w:w="2590" w:type="dxa"/>
            <w:vAlign w:val="bottom"/>
            <w:shd w:val="clear" w:color="auto" w:fill="CFF0FC"/>
          </w:tcPr>
          <w:p>
            <w:pPr>
              <w:spacing w:after="0"/>
              <w:rPr>
                <w:sz w:val="20"/>
                <w:szCs w:val="20"/>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rate</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Contributory asset charges rate</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0.2% - 2.3%</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330" w:type="dxa"/>
            <w:vAlign w:val="bottom"/>
            <w:shd w:val="clear" w:color="auto" w:fill="CFF0FC"/>
          </w:tcPr>
          <w:p>
            <w:pPr>
              <w:spacing w:after="0"/>
              <w:rPr>
                <w:sz w:val="18"/>
                <w:szCs w:val="18"/>
                <w:color w:val="auto"/>
              </w:rPr>
            </w:pPr>
          </w:p>
        </w:tc>
        <w:tc>
          <w:tcPr>
            <w:tcW w:w="2590" w:type="dxa"/>
            <w:vAlign w:val="bottom"/>
            <w:shd w:val="clear" w:color="auto" w:fill="CFF0FC"/>
          </w:tcPr>
          <w:p>
            <w:pPr>
              <w:spacing w:after="0"/>
              <w:rPr>
                <w:sz w:val="18"/>
                <w:szCs w:val="18"/>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96" w:lineRule="exact"/>
        <w:rPr>
          <w:sz w:val="20"/>
          <w:szCs w:val="20"/>
          <w:color w:val="auto"/>
        </w:rPr>
      </w:pPr>
    </w:p>
    <w:p>
      <w:pPr>
        <w:ind w:left="140" w:hanging="132"/>
        <w:spacing w:after="0"/>
        <w:tabs>
          <w:tab w:leader="none" w:pos="1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Includes all of the valuation techniques for each of the fair valued assets above as of the acquisition date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inputs used in our level 3 fair value measurement of goodwill as of our annual impairment assessment date of December 31, 2024, are as follows (</w:t>
      </w:r>
      <w:r>
        <w:rPr>
          <w:rFonts w:ascii="Times New Roman" w:cs="Times New Roman" w:eastAsia="Times New Roman" w:hAnsi="Times New Roman"/>
          <w:sz w:val="18"/>
          <w:szCs w:val="18"/>
          <w:i w:val="1"/>
          <w:iCs w:val="1"/>
          <w:color w:val="auto"/>
        </w:rPr>
        <w:t>Notes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11</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Area</w:t>
            </w: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Valuation Techniques</w:t>
            </w:r>
          </w:p>
        </w:tc>
        <w:tc>
          <w:tcPr>
            <w:tcW w:w="25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3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580" w:type="dxa"/>
            <w:vAlign w:val="bottom"/>
            <w:tcBorders>
              <w:top w:val="single" w:sz="8" w:color="auto"/>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70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198"/>
        </w:trPr>
        <w:tc>
          <w:tcPr>
            <w:tcW w:w="41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2580" w:type="dxa"/>
            <w:vAlign w:val="bottom"/>
            <w:gridSpan w:val="2"/>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sales as a percentage of</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41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8"/>
              </w:rPr>
              <w:t>13.9%</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8"/>
              </w:rPr>
              <w:t>86.1%</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198"/>
        </w:trPr>
        <w:tc>
          <w:tcPr>
            <w:tcW w:w="41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2580" w:type="dxa"/>
            <w:vAlign w:val="bottom"/>
            <w:gridSpan w:val="2"/>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 expenses as a</w:t>
            </w: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416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percentage of revenue</w:t>
            </w:r>
          </w:p>
        </w:tc>
        <w:tc>
          <w:tcPr>
            <w:tcW w:w="13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49.5% - 74.5%</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EBITDA margin</w:t>
            </w:r>
          </w:p>
        </w:tc>
        <w:tc>
          <w:tcPr>
            <w:tcW w:w="13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11.6% - 36.6%</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EBITDA growth rate</w:t>
            </w:r>
          </w:p>
        </w:tc>
        <w:tc>
          <w:tcPr>
            <w:tcW w:w="13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3.0% - 45.9%</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8"/>
              </w:rPr>
              <w:t>13.5%</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160" w:type="dxa"/>
            <w:vAlign w:val="bottom"/>
            <w:shd w:val="clear" w:color="auto" w:fill="CFF0FC"/>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8"/>
        </w:trPr>
        <w:tc>
          <w:tcPr>
            <w:tcW w:w="4160" w:type="dxa"/>
            <w:vAlign w:val="bottom"/>
            <w:shd w:val="clear" w:color="auto" w:fill="CFF0FC"/>
          </w:tcPr>
          <w:p>
            <w:pPr>
              <w:spacing w:after="0"/>
              <w:rPr>
                <w:sz w:val="17"/>
                <w:szCs w:val="17"/>
                <w:color w:val="auto"/>
              </w:rPr>
            </w:pPr>
          </w:p>
        </w:tc>
        <w:tc>
          <w:tcPr>
            <w:tcW w:w="18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Market - Guideline</w:t>
            </w:r>
          </w:p>
        </w:tc>
        <w:tc>
          <w:tcPr>
            <w:tcW w:w="1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4160" w:type="dxa"/>
            <w:vAlign w:val="bottom"/>
            <w:shd w:val="clear" w:color="auto" w:fill="CFF0FC"/>
          </w:tcPr>
          <w:p>
            <w:pPr>
              <w:spacing w:after="0"/>
              <w:rPr>
                <w:sz w:val="20"/>
                <w:szCs w:val="20"/>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public company</w:t>
            </w:r>
          </w:p>
        </w:tc>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multiples</w:t>
            </w:r>
          </w:p>
        </w:tc>
        <w:tc>
          <w:tcPr>
            <w:tcW w:w="13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2.9x - 3.10x</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1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Weighting</w:t>
            </w:r>
          </w:p>
        </w:tc>
        <w:tc>
          <w:tcPr>
            <w:tcW w:w="13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25.0% - 50.0%</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216"/>
        </w:trPr>
        <w:tc>
          <w:tcPr>
            <w:tcW w:w="4160" w:type="dxa"/>
            <w:vAlign w:val="bottom"/>
            <w:shd w:val="clear" w:color="auto" w:fill="CFF0FC"/>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8"/>
        </w:trPr>
        <w:tc>
          <w:tcPr>
            <w:tcW w:w="4160" w:type="dxa"/>
            <w:vAlign w:val="bottom"/>
            <w:shd w:val="clear" w:color="auto" w:fill="CFF0FC"/>
          </w:tcPr>
          <w:p>
            <w:pPr>
              <w:spacing w:after="0"/>
              <w:rPr>
                <w:sz w:val="17"/>
                <w:szCs w:val="17"/>
                <w:color w:val="auto"/>
              </w:rPr>
            </w:pPr>
          </w:p>
        </w:tc>
        <w:tc>
          <w:tcPr>
            <w:tcW w:w="18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Market - Guideline</w:t>
            </w:r>
          </w:p>
        </w:tc>
        <w:tc>
          <w:tcPr>
            <w:tcW w:w="1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4160" w:type="dxa"/>
            <w:vAlign w:val="bottom"/>
            <w:shd w:val="clear" w:color="auto" w:fill="CFF0FC"/>
          </w:tcPr>
          <w:p>
            <w:pPr>
              <w:spacing w:after="0"/>
              <w:rPr>
                <w:sz w:val="20"/>
                <w:szCs w:val="20"/>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w:t>
            </w:r>
          </w:p>
        </w:tc>
        <w:tc>
          <w:tcPr>
            <w:tcW w:w="2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multiple</w:t>
            </w:r>
          </w:p>
        </w:tc>
        <w:tc>
          <w:tcPr>
            <w:tcW w:w="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3.25x</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7"/>
              </w:rPr>
              <w:t>None</w:t>
            </w: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the dates indicated:</w:t>
            </w: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4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86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34,474</w:t>
            </w:r>
          </w:p>
        </w:tc>
        <w:tc>
          <w:tcPr>
            <w:tcW w:w="6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30,867</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(30,935 )</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(26,223 )</w:t>
            </w:r>
          </w:p>
        </w:tc>
      </w:tr>
      <w:tr>
        <w:trPr>
          <w:trHeight w:val="250"/>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939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93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2024 and 2023 was $4,712 and $7,160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Prepaid Expenses and Other Current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commissions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51,472</w:t>
            </w: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Trade</w:t>
            </w:r>
          </w:p>
        </w:tc>
        <w:tc>
          <w:tcPr>
            <w:tcW w:w="3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239,041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364,384</w:t>
            </w: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 costs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130,345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17,661</w:t>
            </w: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consulting costs</w:t>
            </w:r>
          </w:p>
        </w:tc>
        <w:tc>
          <w:tcPr>
            <w:tcW w:w="3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76,767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120,332</w:t>
            </w: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software costs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29,887</w:t>
            </w: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advertising and marketing costs</w:t>
            </w:r>
          </w:p>
        </w:tc>
        <w:tc>
          <w:tcPr>
            <w:tcW w:w="3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29,133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11,074</w:t>
            </w: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merchant fees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26,224</w:t>
            </w:r>
          </w:p>
        </w:tc>
      </w:tr>
      <w:tr>
        <w:trPr>
          <w:trHeight w:val="216"/>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data license and subscription costs</w:t>
            </w:r>
          </w:p>
        </w:tc>
        <w:tc>
          <w:tcPr>
            <w:tcW w:w="3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53,124</w:t>
            </w: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47,214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66,997</w:t>
            </w:r>
          </w:p>
        </w:tc>
      </w:tr>
      <w:tr>
        <w:trPr>
          <w:trHeight w:val="250"/>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643,674</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741,155</w:t>
            </w:r>
          </w:p>
        </w:tc>
      </w:tr>
      <w:tr>
        <w:trPr>
          <w:trHeight w:val="629"/>
        </w:trPr>
        <w:tc>
          <w:tcPr>
            <w:tcW w:w="4440" w:type="dxa"/>
            <w:vAlign w:val="bottom"/>
          </w:tcPr>
          <w:p>
            <w:pPr>
              <w:spacing w:after="0"/>
              <w:rPr>
                <w:sz w:val="24"/>
                <w:szCs w:val="24"/>
                <w:color w:val="auto"/>
              </w:rPr>
            </w:pPr>
          </w:p>
        </w:tc>
        <w:tc>
          <w:tcPr>
            <w:tcW w:w="316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93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939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Goodwill</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is a summary of goodwill by reportable segment as of and for the years ended December 31, 2024 and 2023: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6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Operating Co.</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2,171,526</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2,171,526</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goodwill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19,526,409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19,526,409</w:t>
            </w: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(2,725,460 )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(2,725,460 )</w:t>
            </w:r>
          </w:p>
        </w:tc>
      </w:tr>
      <w:tr>
        <w:trPr>
          <w:trHeight w:val="249"/>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 December 31, 2024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2,171,526</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16,800,949</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18,972,475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946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946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identify our reporting units in accordance with the FASB ASC Subtopic 280. The carrying value and fair value for intangible assets and goodwill for a reporting unit are calculated based on key assumptions and valuation methodologies. The discounted cash flow methodology is a widely accepted valuation technique utilized by market participants in the transaction evaluation process and has been applied consistently. We also considered our market capitalization at December 31, 2024 and December 31, 2023, as compared to the aggregate fair values of our reporting units, to assess the reasonableness of our estimates pursuant to the discounted cash flow methodology. Management further supports its conclusions by assessing a combination of an income valuation methodology, comprising a discounted cash flow analysis and market valuation methodologies, comprising the guideline public company and guideline transaction methods. The estimates and assumptions made in assessing the fair value of our reporting units and the valuation of the underlying assets and liabilities are inherently subject to significant uncertainties related to future sales, gross margins, and advertising and marketing expenses, which can be impacted by increases in competition, changing consumer preferences, technology development expenses, technical advances, and inflation. The discount rate assumption may be influenced by such factors as changes in interest rates and rates of inflation, which can have an impact on the determination of fair value. If these assumptions are adversely affected, we may be required to record additional impairment charges in the future.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Company had one operating segment which was deemed to be its only reporting unit, and as such goodwill was allocated to that one reporting unit and the carrying value was determined based on the equity of the entire company for purposes of evaluating goodwill impairment. As of December 31, 2023, the reporting unit had a negative carrying value. No impairment of goodwill was identified as of December 31,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as the Company has two operating segments which were deemed to be its reporting units, goodwill is allocated to each reporting unit and the carrying value of each reporting unit is determined based on the present value of the reporting unit's specific discounted cash flows for purposes of evaluating goodwill impairment. As of December 31, 2024, the date of the last goodwill impairment analysis, the Banzai Operating Co. reporting unit had a negative carrying value, and no impairment to goodwill was identified as of December 31, 2024. As of December 31, 2024, the OpenReel reporting unit had a carrying value that exceeded the fair value of the reporting unit. As such an impairment to goodwill $2.7 million was identified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Accrued Expenses and Other Current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2,419,829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1,511,889</w:t>
            </w: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tax payable</w:t>
            </w: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452,508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314,873</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legal costs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2,694,439</w:t>
            </w: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Excise tax payable</w:t>
            </w: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223,717</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207,970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185,504</w:t>
            </w: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37,765</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22,110</w:t>
            </w: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54,102</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173,163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149,841</w:t>
            </w:r>
          </w:p>
        </w:tc>
      </w:tr>
      <w:tr>
        <w:trPr>
          <w:trHeight w:val="250"/>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3,891,018</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5,194,240</w:t>
            </w:r>
          </w:p>
        </w:tc>
      </w:tr>
      <w:tr>
        <w:trPr>
          <w:trHeight w:val="628"/>
        </w:trPr>
        <w:tc>
          <w:tcPr>
            <w:tcW w:w="4640" w:type="dxa"/>
            <w:vAlign w:val="bottom"/>
          </w:tcPr>
          <w:p>
            <w:pPr>
              <w:spacing w:after="0"/>
              <w:rPr>
                <w:sz w:val="24"/>
                <w:szCs w:val="24"/>
                <w:color w:val="auto"/>
              </w:rPr>
            </w:pPr>
          </w:p>
        </w:tc>
        <w:tc>
          <w:tcPr>
            <w:tcW w:w="296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F-31</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-933450</wp:posOffset>
            </wp:positionV>
            <wp:extent cx="1028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13. Deferred Revenue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years ended December 31, 2024 and 2023, the Company recognized $1,214,096 and $930,436 in revenue that was included in the prior year deferred revenue balance,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total deferred revenue was as follows for the periods indicated:</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0"/>
        </w:trPr>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1,214,096</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930,436</w:t>
            </w:r>
          </w:p>
        </w:tc>
      </w:tr>
      <w:tr>
        <w:trPr>
          <w:trHeight w:val="216"/>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Billings</w:t>
            </w: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4,362,730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4,781,924</w:t>
            </w:r>
          </w:p>
        </w:tc>
      </w:tr>
      <w:tr>
        <w:trPr>
          <w:trHeight w:val="216"/>
        </w:trPr>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(1,214,096 )</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(930,436 )</w:t>
            </w:r>
          </w:p>
        </w:tc>
      </w:tr>
      <w:tr>
        <w:trPr>
          <w:trHeight w:val="216"/>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(3,091,333 )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(3,567,828 )</w:t>
            </w:r>
          </w:p>
        </w:tc>
      </w:tr>
      <w:tr>
        <w:trPr>
          <w:trHeight w:val="216"/>
        </w:trPr>
        <w:tc>
          <w:tcPr>
            <w:tcW w:w="7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OpenReel deferred revenue - short-term</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2,663,230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short-term, end of period</w:t>
            </w: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3,934,627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1,214,096</w:t>
            </w:r>
          </w:p>
        </w:tc>
      </w:tr>
      <w:tr>
        <w:trPr>
          <w:trHeight w:val="216"/>
        </w:trPr>
        <w:tc>
          <w:tcPr>
            <w:tcW w:w="7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OpenReel deferred revenue - long-term</w:t>
            </w:r>
          </w:p>
        </w:tc>
        <w:tc>
          <w:tcPr>
            <w:tcW w:w="1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117,643</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short-term and long-term,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4,052,270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1,214,096</w:t>
            </w:r>
          </w:p>
        </w:tc>
      </w:tr>
      <w:tr>
        <w:trPr>
          <w:trHeight w:val="20"/>
        </w:trPr>
        <w:tc>
          <w:tcPr>
            <w:tcW w:w="7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-454025</wp:posOffset>
            </wp:positionV>
            <wp:extent cx="93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93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21, 2022, the Company issued a subordinated convertible promissory note (“Old Alco Note”) for a principal sum of $2,000,000 to Alco Investment Company (“Alco”), a related party. Alco held approximately 5% of the issued equity of the Company, through its ownership of Series A preferred stock. The Old Alco Note bore interest at a rate of 15% per annum until exchanged. The outstanding principal and accrued interest were due and payable on December 31, 2023 (“Original Maturity Date”), provided that, Alco could elect to extend the Original Maturity Date up to two times by additional 12-month increments by delivering written notice to the Company prior to the Original Maturity Date of such election. The outstanding principal and interest under the Old Alco Note was, at the Holder’s election, either (i) effective upon the closing of an Equity Financing (as defined in the agreement), to be converted into shares of the same series of preferred stock of the Company issued to other investors in the Equity Financing (the “Equity Financing Securities”) at a conversion price equal to 85% of the price per share of Equity Financing Securities paid by the other investors in the Equity Financing, with any resulting fraction of a share rounded to the nearest whole share (with 0.5 being rounded up) (the “Conversion Option”) or (ii) immediately prior to the closing of an Equity Financing, become due and payable in cash.</w:t>
      </w:r>
    </w:p>
    <w:p>
      <w:pPr>
        <w:spacing w:after="0" w:line="1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embedded redemption put feature upon an Equity Financing is not clearly and closely related to the debt host instrument, was separated from the debt host and initially measured at fair value. Subsequent changes in fair value of the feature are recognized in the Consolidated Statement of Operations. The fair value (see </w:t>
      </w:r>
      <w:r>
        <w:rPr>
          <w:rFonts w:ascii="Times New Roman" w:cs="Times New Roman" w:eastAsia="Times New Roman" w:hAnsi="Times New Roman"/>
          <w:sz w:val="18"/>
          <w:szCs w:val="18"/>
          <w:i w:val="1"/>
          <w:iCs w:val="1"/>
          <w:color w:val="auto"/>
        </w:rPr>
        <w:t>Note 8 - Fair Value Measurements</w:t>
      </w:r>
      <w:r>
        <w:rPr>
          <w:rFonts w:ascii="Times New Roman" w:cs="Times New Roman" w:eastAsia="Times New Roman" w:hAnsi="Times New Roman"/>
          <w:sz w:val="18"/>
          <w:szCs w:val="18"/>
          <w:color w:val="auto"/>
        </w:rPr>
        <w:t>) of the bifurcated derivative liability was estimated utilizing the with and without method which uses the probability weighted difference between the scenarios with the derivative and the plain vanilla maturity scenario without a derivative.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to the principal amounts were included in the carrying value of the Old Alco Note and amortized to interest expense over the remaining term of the underlying debt. During 2022, the Company recorded a $151,000 debt discount upon issuance of the Old Alco Note. For the year ended December 31, 2022, interest expense on the Old Alco Note totaled $124,621, comprised of $100,274 of contractual interest and $24,347 for the amortization of the discount. The effective interest rate was 20% prior to the exchange of the Old Alco Note as noted below.</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19, 2022, the Company and Alco entered into an exchange agreement whereby Alco and the Company agreed to the cancellation of the Old Alco Note in exchange for the issuance of a new subordinated convertible promissory note in the principal amount of $2,101,744 (representing the principal amount plus accrued interest under the Old Alco Note) (the "New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1" w:name="page132"/>
    <w:bookmarkEnd w:id="131"/>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Alco Note”).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treated the Old Alco Note as extinguished and recognized a loss on debt extinguishment of $56,653, determined by the sum of the fair value of the New Alco Note in excess of the carrying value of the Old Alco Note less the bifurcated embedded derivative liability at the time of the modification.</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Between July and September 2022, the Company issued additional subordinated convertible notes (together with the New Alco Note, the “2022 Related Party Convertible Notes”) for an aggregate amount of $4,200,538 to related parties Alco, Mason Ward and DNX. Between March and September 2023, the Company issued additional subordinate convertible notes (together with the 2022 Related Party Convertible Notes, the "Related Party Convertible Notes”) for an aggregate amount of $2,583,000 to related parties Alco, Mason Ward, DNX and William Bryant. DNX held in excess of 5% of the issued equity of the Company, through its ownership of Series A preferred stock. William Bryant will become a member of the Board of Directors upon completion of the Merger. The Related Party Convertible Notes bear interest at a rate of 8% per annum, and are convertible into the same series of capital stock of the Company to be issued to other investors upon a Qualified Financing (as defined in the agreement) at a conversion price equal to the lesser of (i) 80% of the per share price paid by the cash purchasers of such Qualified Financing Securities (as defined in the agreement) in the Qualified Financing, or (ii) the conversion price obtained by dividing $50,000,000 by the Fully Diluted Capitalization (as defined in the agreement). If not sooner converted or prepaid, the Convertible Notes are payable no later than the earlier of (a) the written demand by the holders of a majority-in-interest of the Notes then outstanding on or after September 1, 2023, (b) consummation of a Liquidity Event (as defined in the agreement), or (c) the written demand by the Majority Holders (as defined in the agreement) after an Event of Default (as defined in the agreement) has occurred. In the event of a Liquidity Event (as defined below) while this Note is outstanding, immediately prior to the closing of such Liquidity Event and in full satisfaction of this Note, an amount equal to the greater of (a) the Outstanding Amount, or (b) two times (2x) the principal amount of this Note then outstanding shall become immediately due and payable in cash.</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embedded redemption put feature upon an Equity Financing and the optional redemption upon a Liquidity Event at a substantial premium are not clearly and closely related to the debt host instrument, were separated and bundled together, assigned probabilities of being affected and initially measured at fair value. Subsequent changes in fair value of the feature will be recognized in the Consolidated Statement of Operations. The fair value of the bifurcated derivative liability was estimated utilizing the with and without method which uses the probability weighted difference between the scenarios with the derivative and the plain vanilla maturity scenario without a derivative (see </w:t>
      </w:r>
      <w:r>
        <w:rPr>
          <w:rFonts w:ascii="Times New Roman" w:cs="Times New Roman" w:eastAsia="Times New Roman" w:hAnsi="Times New Roman"/>
          <w:sz w:val="18"/>
          <w:szCs w:val="18"/>
          <w:i w:val="1"/>
          <w:iCs w:val="1"/>
          <w:color w:val="auto"/>
        </w:rPr>
        <w:t>Note 8 - Fair Value Measurements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to the principal amounts are included in the carrying value of the Related Party Convertible Notes and amortized to interest expense over the contractual term of the underlying debt. During the year ended December 31, 2023, the Company recorded a $1,126,451 debt discount upon issuance of additional Related Party Convertible Notes. For the year ended December 31, 2023, interest expense on the Related Party Convertible Notes totaled $2,307,013, comprised of $464,071 of contractual interest and $1,842,942 for the amortization of the discount.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2023 Amendment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Related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Related Party Convertible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2023, all outstanding principal and accrued interest, net of the remaining debt discount, related to the Related Party Convertible Notes, totaling $7,271,368 converted into 22,929 shares the Company’s Class A Common Stock pursuant to the close of the Merger Agreement and application of the exchange ratio.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Third Party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Between July and September 2022, the Company issued additional subordinated convertible notes (the “2022 Third Party Convertible Notes”) for an aggregate amount of $1,761,206 to third-party creditors. Between March and September 2023, the Company issued additional subordinate convertible notes (together with the 2022 Third Party Convertible Notes, the "Third Party Convertible Notes”) for an aggregate amount of $1,435,000 to third-party creditors. The Third Party Convertible Notes bear interest at a rate of 8% per annum, and are convertible into the same series of capital stock of the Company to be issued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32" w:name="page133"/>
    <w:bookmarkEnd w:id="132"/>
    <w:p>
      <w:pPr>
        <w:jc w:val="both"/>
        <w:spacing w:after="0" w:line="254" w:lineRule="auto"/>
        <w:rPr>
          <w:sz w:val="20"/>
          <w:szCs w:val="20"/>
          <w:color w:val="auto"/>
        </w:rPr>
      </w:pPr>
      <w:r>
        <w:rPr>
          <w:rFonts w:ascii="Times New Roman" w:cs="Times New Roman" w:eastAsia="Times New Roman" w:hAnsi="Times New Roman"/>
          <w:sz w:val="18"/>
          <w:szCs w:val="18"/>
          <w:color w:val="auto"/>
        </w:rPr>
        <w:t>to other investors upon a Qualified Financing (as defined in the agreement) at a conversion price equal to the lesser of (i) 80% of the per share price paid by the cash purchasers of such Qualified Financing Securities (as defined in the agreement) in the Qualified Financing, or (ii) the conversion price obtained by dividing $50,000,000 by the Fully Diluted Capitalization (as defined in the agreement). If not sooner converted or prepaid, the Convertible Notes are payable no later than the earlier of (a) the written demand by the holders of a majority-in-interest of the Notes then outstanding on or after September 1, 2023, (b) consummation of a Liquidity Event (as defined in the agreement), or (c) the written demand by the Majority Holders (as defined in the agreement) after an Event of Default (as defined in the agreement) has occurred. In the event of a Liquidity Event (as defined below) while this Note is outstanding, immediately prior to the closing of such Liquidity Event and in full satisfaction of this Note, an amount equal to the greater of (a) the Outstanding Amount, or (b) two times (2x) the principal amount of this Note then outstanding shall become immediately due and payable in cash.</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embedded redemption put feature upon an Equity Financing and the optional redemption upon a Liquidity Event at a substantial premium are not clearly and closely related to the debt host instrument, were separated and bundled together, assigned probabilities of being affected and initially measured at fair value. Subsequent changes in fair value of the feature will be recognized in the Consolidated Statement of Operations. The fair value of the bifurcated derivative liability was estimated utilizing the with and without method which uses the probability weighted difference between the scenarios with the derivative and the plain vanilla maturity scenario without a derivative (see </w:t>
      </w:r>
      <w:r>
        <w:rPr>
          <w:rFonts w:ascii="Times New Roman" w:cs="Times New Roman" w:eastAsia="Times New Roman" w:hAnsi="Times New Roman"/>
          <w:sz w:val="18"/>
          <w:szCs w:val="18"/>
          <w:i w:val="1"/>
          <w:iCs w:val="1"/>
          <w:color w:val="auto"/>
        </w:rPr>
        <w:t>Note 8 - Fair Value Measurements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to the principal amounts are included in the carrying value of the Third Party Convertible Notes and amortized to interest expense over the contractual term of the underlying debt. During the year ended December 31, 2023, the Company recorded a $559,390 debt discount upon issuance of additional Third Party Convertible Notes. For the year ended December 31, 2023, interest expense on the Third Party Convertible Notes totaled $1,063,093, comprised of $188,059 of contractual interest and $875,034 for the amortization of the discount.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2023 Amendment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2023, the 2022 Related Party Convertible Notes were amended to extend the maturity to December 31, 2023. The Company evaluated the terms of the First Amendment in accordance with ASC 470-60, Troubled Debt Restructurings, and ASC 470-50, Debt Modifications and Extinguishments. The Company determined that the Company was granted a concession by the lender based on the decrease of the effective borrowing rate on the First Amendment. Accordingly, the Company accounted for the First Amendment as a troubled debt restructuring. As a result, the Company accounted for the troubled debt restructuring by calculating a new effective interest rate for the First Amendment based on the carrying amount of the debt and the present value of the revised future cash flow payment stream. The troubled debt restructuring did not result in recognition of a gain or loss in the consolidated statement of operations but does impact interest expense recognized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Third Party Convertible Notes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2023, all outstanding principal and accrued interest, net of the remaining debt discount, related to the Third Party Convertible Notes, totaling $3,346,232 converted into 10,598 shares the Company’s Class A Common Stock pursuant to the close of the Merger Agreement and application of the exchange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Related Party and Third Party Convertible Notes, respectively, as of December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Related Party</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Third Party</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convertible notes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6,783,538</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3,196,206</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(131,867 )</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(83,688 )</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convertible notes</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6,651,671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3,112,518</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619,697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233,714</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(7,271,368 )</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(3,346,232 )</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convertible notes and accrued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Related Party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2023, the Company issued a subordinate promissory note (“Alco August Promissory Note”) in the aggregate principal amount of $150,000 to Alco Investment Company,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18"/>
          <w:szCs w:val="18"/>
          <w:color w:val="auto"/>
        </w:rPr>
        <w:t>recorded a $3,711 debt discount upon issuance of the Alco August Promissory Note. For the year ended December 31, 2024, interest expense on the Alco August Promissory Note totaled $11,284, comprised of $8,022 of contractual accrued interest and $3,261 for the amortization of the discount. For the year ended December 31, 2023, interest expense on the Alco August Promissory Note totaled $4,494, comprised of $4,044 of contractual accrued interest and $450 for the amortization of the discount. As of December 31, 2024 the Alco August Promissory Note was converted in full (see below). As of December 31, 2023, $150,000 of principal and $4,044 of accrued interest was outstanding under the Alco August Promissory Note recorded in note payable - related party, net of discount on the consolidated balance sheets.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13, 2023, the Company issued a subordinate promissory note (“Alco September Promissory Note”) in the aggregate principal amount of up to $1,500,000 to Alco Investment Company, a related party. The Alco September Promissory Note bears interest at a rate of 8% per annum. The outstanding principal and accrued interest were due and payable on September 30, 2024, however the due date was extended and the debt subsequently settled (see below). The Company recorded $8,588 of debt issuance costs and a $638,808 debt discount upon issuance of the Alco September Promissory Note, relating to the share transfer agreements, see below. For the year ended December 31, 2024, interest expense on the Alco September Promissory Note totaled $283,188, comprised of $92,822 of contractual accrued interest and $190,366 for the amortization of the discount. For the year ended December 31, 2023, interest expense on the Alco September Promissory Note totaled $478,815, comprised of $30,575 of contractual accrued interest and $448,240 for the amortization of the discount. As of December 31, 2024 the Alco September Promissory Note was converted in full (see below). As of December 31, 2023, $1,500,000 of principal and $30,575 of accrued interest was outstanding under the Alco September Promissory Note recorded in note payable - related party, net of discount on the consolidated balance sheets.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16, 2023, the Company issued a subordinate promissory note (“Alco November Promissory Note”) in the aggregate principal amount of up to $750,000 to Alco Investment Company, a related party. The Alco November Promissory Note bears interest at a rate of 8% per annum. The outstanding principal and accrued interest were due and payable on April 13, 2024, however the due date was extended and the debt subsequently settled (see below). The Company recorded a $363,905 debt discount upon issuance of the Alco November Promissory Note relating to the share transfer agreements, see below. For the year ended December 31, 2024, interest expense on the Alco November Promissory Note totaled $321,189, comprised of $43,891 of contractual accrued interest and $277,298 for the amortization of the discount. For the year ended December 31, 2023, interest expense on the Alco November Promissory Note totaled $94,005, comprised of $7,397 of contractual accrued interest and $86,608 for the amortization of the discount. As of December 31, 2024 the Alco November Promissory Note was converted in full (see below). As of December 31, 2023, $750,000 of principal and $7,397 of accrued interest was outstanding under the Alco November Promissory Note recorded in note payable - related party, net of discount on the consolidated balance sheets.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13, 2023, the Company issued a subordinate promissory note (“Alco December Promissory Note”) in the aggregate principal amount of up to $2,000,000 to Alco Investment Company, a related party. The Alco December Promissory Note bears interest at a rate of 8% per annum. The outstanding principal and accrued interest are due and payable on December 31, 2024. The Company recorded a $1,496,252 debt discount upon issuance of the Alco December Promissory Note, relating to the share transfer agreements, see below. For the year ended December 31, 2024, interest expense on the Alco December Promissory Note totaled $936,941, comprised of $117,040 of contractual accrued interest and $819,901 for the amortization of the discount. For the year ended December 31, 2023, interest expense on the Alco December Promissory Note totaled $39,087, comprised of $7,890 of contractual accrued interest and $31,197 for the amortization of the discount. As of December 31, 2024 the Alco December Promissory Note was converted in full (see below). As of December 31, 2023, $2,000,000 of principal and $7,890 of accrued interest was outstanding under the Alco December Promissory Note recorded in note payable – related party, net of discount on the consolidated balance sheets.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150,000, 75,000, and 600,000, respectively. Pursuant to the Alco Share Transfer Agreements, the shares are subject to an 180-day lock-up period upon issuance of the shares.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Alco Share Transfer Agreements, the Company considered the guidance under ASC 815, Derivatives and Hedging, and determined that the Investor Shares underlying each of the Share Transfer Agreements described above, met the definition of a freestanding financial instrument and are not precluded from being considered indexed to the Company’s common stock.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34" w:name="page135"/>
    <w:bookmarkEnd w:id="134"/>
    <w:p>
      <w:pPr>
        <w:jc w:val="both"/>
        <w:spacing w:after="0" w:line="282" w:lineRule="auto"/>
        <w:rPr>
          <w:sz w:val="20"/>
          <w:szCs w:val="20"/>
          <w:color w:val="auto"/>
        </w:rPr>
      </w:pPr>
      <w:r>
        <w:rPr>
          <w:rFonts w:ascii="Times New Roman" w:cs="Times New Roman" w:eastAsia="Times New Roman" w:hAnsi="Times New Roman"/>
          <w:sz w:val="18"/>
          <w:szCs w:val="18"/>
          <w:color w:val="auto"/>
        </w:rPr>
        <w:t>Company determined that these shares represent a freestanding equity contract issued to the lender, resulting in a discount recorded on the notes when they are issued.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September Promissory Note, of which $1,000,000 was drawn on September 13, 2023, the DLOM was estimated using the put option models described above and the following assumptions: a holding period for the shares of 272 days (approximately 0.77 years) measured from the date of issuance of the $1,000,000 of proceeds under the September Note through the issuance of the shares under the Alco October Share Transfer Agreement on December 14, 2023 at which time the 180-day lock-up period commenced; a re-levered equity volatility estimated using guideline public companies of 54.0%; and a risk-free rate commensurate with the term of 5.3%. The put option models provided a DLOM range of 10.7% to 16.0% and the concluded DLOM was estimated to be 12.5%. The Company’s expected percentage of completing the Merger on this date was 80%.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remaining $500,000 drawn on the Alco September Promissory Note on October 3, 2023, the DLOM was estimated using the put option models described above and the following assumptions: a holding period for the shares of 252 days (approximately 0.72 years) measured from the date of issuance of the remaining $500,000 of proceeds under the September Note through the issuance of the shares under the Alco October Share Transfer Agreement on December 14, 2023 at which time the 180-day lock-up period commenced; a re-levered equity volatility estimated using guideline public companies of 52.0%; and a risk-free rate commensurate with the term of 5.4%. The put option models provided a DLOM range of 10.0% to 15.0% and the concluded DLOM was estimated to be 11.5%. The Company’s expected percentage of completing the Merger on this date was 80%.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November Promissory Note, the DLOM was estimated using the put option models described above and the following assumptions: a holding period for the shares of 208 days (approximately 0.60 years) measured from the issuance date of the November Note through the issuance of the shares under the November 2023 Share Transfer Agreement on December 14, 2023 at which time the 180-day lock-up period commenced; a re-levered equity volatility estimated using guideline public companies of 54.0%; and a risk-free rate commensurate with the term of 5.2%. The put option models provided a DLOM range of 9.5% to 15.0% and the concluded DLOM was estimated to be 11.5%. The Company’s expected percentage of completing the Merger on this date was 100%.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Alco December Promissory Note, the DLOM was estimated using the put option models described above and the following assumptions: a holding period for the shares of 180 days (approximately 0.49 years) measured from the issuance date of the December Note through the issuance of the shares under the December 2023 Share Transfer Agreement on December 14, 2023 at which time the 180-day lock-up period commenced; a re-levered equity volatility estimated using guideline public companies of 47.0%; and a risk-free rate commensurate with the term of 5.2%. The put option models provided a DLOM range of 7.5% to 12.0% and the concluded DLOM was estimated to be 9.0%. The Company’s expected percentage of completing its Business Combination on this date was 100%.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and May 2024 Amendment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Troubled Debt Restructurings, and ASC 470-50, Debt Modifications and Extinguishments. The Company determined that the Company was granted a concession by the lender based on the decrease of the effective borrowing rate on the Alco 2024 Amendments. Accordingly,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5" w:name="page136"/>
    <w:bookmarkEnd w:id="13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Alco Promissory Note Conversion and Settlement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282,420 shares of Class A Common Stock, Warrants to purchase up to 1,331,340 shares of Class A Common Stock and Pre-Funded Warrants to purchase up to 1,048,920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per the condensed consolidated statement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- 7GC</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assumed two promissory notes in connection with the Merger which remained outstanding as of December 31, 2023. On February 9, 2024, the $2,540,091 balance was converted into 17,813 shares the Company’s Class A Common Stock pursuant to the terms in the 7GC Promissory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w:t>
      </w:r>
    </w:p>
    <w:p>
      <w:pPr>
        <w:spacing w:after="0" w:line="1" w:lineRule="exact"/>
        <w:rPr>
          <w:sz w:val="20"/>
          <w:szCs w:val="20"/>
          <w:color w:val="auto"/>
        </w:rPr>
      </w:pPr>
    </w:p>
    <w:p>
      <w:pPr>
        <w:jc w:val="both"/>
        <w:ind w:firstLine="8"/>
        <w:spacing w:after="0" w:line="255" w:lineRule="auto"/>
        <w:tabs>
          <w:tab w:leader="none" w:pos="2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issued an aggregate of 190,001 shares of Class A Common Stock to GEM in lieu of monthly payment obligations and the remaining balance of the GEM Promissory Note as of December 31, 2024 is $215,057 recorded in the convertible notes line on the consolidated balance sheet. The Company notes the GEM Promissory Note is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36" w:name="page137"/>
    <w:bookmarkEnd w:id="136"/>
    <w:p>
      <w:pPr>
        <w:jc w:val="both"/>
        <w:spacing w:after="0" w:line="282" w:lineRule="auto"/>
        <w:rPr>
          <w:sz w:val="20"/>
          <w:szCs w:val="20"/>
          <w:color w:val="auto"/>
        </w:rPr>
      </w:pPr>
      <w:r>
        <w:rPr>
          <w:rFonts w:ascii="Times New Roman" w:cs="Times New Roman" w:eastAsia="Times New Roman" w:hAnsi="Times New Roman"/>
          <w:sz w:val="18"/>
          <w:szCs w:val="18"/>
          <w:color w:val="auto"/>
        </w:rPr>
        <w:t>default as the Company failed to make the required payments under the agreement. The remaining balance of $215,057 outstanding as of December 31, 2024 was settled in cash during Q1 2025 and there is no outstanding balance as of March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 (Yorkville)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18 - Equity</w:t>
      </w:r>
      <w:r>
        <w:rPr>
          <w:rFonts w:ascii="Times New Roman" w:cs="Times New Roman" w:eastAsia="Times New Roman" w:hAnsi="Times New Roman"/>
          <w:sz w:val="18"/>
          <w:szCs w:val="18"/>
          <w:color w:val="auto"/>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 from Yorkville.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Promissory Notes for a period commencing on the date of the closing of the offering and ending on the date that is 90 days thereafter. Under the Original Debt Repayment Agreement, the Company and Yorkville also agreed to extend the maturity date of the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Debt Repayment Agreement was conditioned on the completion of the offering by June 2, 2024.</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Promissory Notes after a period of 60 days following the closing of the offering. Under the Amended Debt Repayment Agreement, the Company and Yorkville also agreed to extend the maturity date of the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$750,000 on May 31, 2024 (the “Repayment Date”), and issued an Advance Notice for the purchase of 12,000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7" w:name="page138"/>
    <w:bookmarkEnd w:id="137"/>
    <w:p>
      <w:pPr>
        <w:jc w:val="both"/>
        <w:spacing w:after="0" w:line="282" w:lineRule="auto"/>
        <w:rPr>
          <w:sz w:val="20"/>
          <w:szCs w:val="20"/>
          <w:color w:val="auto"/>
        </w:rPr>
      </w:pPr>
      <w:r>
        <w:rPr>
          <w:rFonts w:ascii="Times New Roman" w:cs="Times New Roman" w:eastAsia="Times New Roman" w:hAnsi="Times New Roman"/>
          <w:sz w:val="18"/>
          <w:szCs w:val="18"/>
          <w:color w:val="auto"/>
        </w:rPr>
        <w:t>recorded at fair value totaling $115,800 on the Repayment Date, and the excess of fair value over the Cash Surplus was recorded to the consolidated statement of operations in line Yorkville prepayment premium expense.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December 31, 2024, no events of default have occurred.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Note 18).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January 2024, the Company’s stock price per share fell below the then in effect Floor Price (as defined in the Standby Equity Purchase Agreement disclosure in Note 15) of $2.00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$0.294 per share of Common Stock, thus curing the Amortization Event condition.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$2,000,000 of the full outstanding principal under the December Yorkville Convertible Note, respectively, was converted into 275,383 shares of Class A Common stock of the Company. During the year ended December 31, 2024, the full principal amount of $1,000,000 under the February Yorkville Promissory Note was converted into 28,910 Class A Common stock of the Company. During the year ended December 31, 2024, the full outstanding principal amount of $750,000 under the March Yorkville Promissory Note was converted into 149,863, Class A Common stock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principal amount outstanding under the Yorkville Promissory Notes was $0 and $2,000,000, respectively. During the year ended December 31, 2024, the Company recorded interest expense of $80,760 in connection with the Yorkville Promissory Notes, all of which was related to the Premium Advance.</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Yorkville Promissory Notes are required to be measured at fair value pursuant to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at the date of issuances and in subsequent reporting periods, due to the variable share-settled feature described above in which, if converted, the value to be received by Yorkville fluctuates based on something other than the fair value of the Company’s common stock. The fair value of the Yorkville Promissory Notes as of December 31, 2024 and December 31, 2023 was $0 and $1,766,000, respectively. The Company used a Monte Carlo simulation model in order to determine the Yorkville Promissory Note’s fair value at December 31, 2023, with the following inputs: the fair value of the Company's common stock of $1.88 on December 31, 2023, estimated equity volatility of 71%, the time to maturity of 0.46 years, a discounted market interest rate of 14%, a risk free rate of 5.28%, and probability of optional redemption 10.0%.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8" w:name="page139"/>
    <w:bookmarkEnd w:id="138"/>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and 2023, the Company recorded a loss of $693,000 and a gain of $34,000, respectively, related to the change in fair value of the Yorkville Promissory Notes liability, respectively. As of December 31, 2024, the full outstanding balances of the Yorkville Promissory Notes have been converted into the Company's Class A Common stock and repaid.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(CP BF) - related party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 per unit. If not sooner converted or prepaid, the Convertible Note principal together with accrued and unpaid interest thereon, unpaid fees and expenses and any other Obligations then due, shall be paid on the Loan Maturity Date.</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Company may voluntarily prepay the Principal of the Loans, in accordance with their terms, in whole or in part at any time. On the date of any such prepayment, the Company will owe to Lender: (i) all accrued and unpaid Cash Interest with respect to the principal amount so prepaid through the date the prepayment is made; (ii) if such prepayment is prior to the twelve-month anniversary of the Closing Date, all unpaid interest (including for the avoidance of doubt, PIK Interest and Cash Interest) with respect to the principal amount so prepaid that would have been due and payable on or prior to the twelve-month anniversary of the Closing Date had the Loans remained outstanding until such twelve-month anniversary date (the “Yield Maintenance Premium”); (iii)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(iv) all other Obligations, if any, that shall have become due and payable hereunder with respect to the principal amount so prepaid.</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covenants, including restrictions on the Company’s ability to incur indebtedness, grant liens or security interest on assets, make acquisitions, loans, advances or investments, or sell or otherwise transfer assets, among others. The Loan Agreement also contains other financial covenants related to minimum gross profit margin, minimum ARR (Annual Recurring Revenue) growth rate, and fixed charge ratio, among other financial covenants per the terms of the Loan Agreement. The Loan Agreement is secured by a first-priority Lien (subject to Permitted Liens) on and security interest in the Collateral pursuant to the terms of the Collateral Documents. The Loan Agreement named Joseph Davy, CEO, as Guarantor, and per the term of the Loan Agreement, he is willing to guarantee the full payment, performance and collection of all of the Credit Parties’ obligations thereunder and under the Loan Agreement, all as further set forth therein.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and at any time thereafter unless and until such Event of Default has been waived by CP BF or cured to the satisfaction of Lender, subject to the exercise of customary commercial underwriting standards in determining such satisfaction, Lender may, without notice or demand to the Credit Parties declare the unpaid principal of and any accrued interest shall be immediately due and payable. While the Company and the Lender are engaged in good faith discussions to resolve these matters, no agreement to resolve such matters has been reached and all of the Loans remain in default for the reasons stated above, and the Lender is not presently exercising remedies, which the Lender reserves the right to so do at any time.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2021, the Company capitalized $310,589 and $71,674 of costs associated with the issuance of the Term Note and Convertible Notes, respectively, and amortizes these costs to interest expense over the term of the debt, using the effective interest method. The capitalized debt issuance costs are presented as a reduction of the carrying value of the Term Note and Convertible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9" w:name="page140"/>
    <w:bookmarkEnd w:id="139"/>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$3,000. Subsequent changes in fair value of the feature will be recognized as a gain or loss in the Consolidated Statement of Operations. The fair value of the bifurcated derivative liability was estimated utilizing the with and without method which uses the probability weighted difference between the scenarios with the derivative and the plain vanilla maturity scenario without a derivative (See </w:t>
      </w:r>
      <w:r>
        <w:rPr>
          <w:rFonts w:ascii="Times New Roman" w:cs="Times New Roman" w:eastAsia="Times New Roman" w:hAnsi="Times New Roman"/>
          <w:sz w:val="18"/>
          <w:szCs w:val="18"/>
          <w:i w:val="1"/>
          <w:iCs w:val="1"/>
          <w:color w:val="auto"/>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interest rate for the Term Note was 16% for the year ended December 31, 2024 and 2023. Discounts to the principal amounts, relating to the debt issuance costs and embedded features, are included in the carrying value of the Convertible Notes and amortized to interest expense over the remaining term of the underlying debt. For the year ended December 31, 2024, interest expense on the Term Note totaled $851,175, comprised of $772,550 of contractual interest and $78,625 for the amortization of the discount. For the year ended December 31, 2023, interest expense on the Term Note totaled $1,140,106, respectively, comprised of $1,058,230 of contractual interest and $81,876 for the amortization of the discount.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rate for the CP BF Convertible Note and First Amendment Convertible Note was 16% for the year ended December 31, 2024 and 2023. For the year ended December 31, 2024, interest expense on the Convertible Notes totaled $350,430 comprised of $325,818 of contractual interest and $24,612 for the amortization of the discount. For the year ended December 31, 2023, interest expense on the Convertible Notes totaled $422,507, comprised of $395,575 of contractual interest and $26,932 for the amortization of the discount.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Black-Scholes option pricing models to determine the average share count outstanding at conversion and the simulated price per share for the Company as of the valuation date. Key inputs into these models included the timing and probability of the identified scenarios, and for Black-Scholes option pricing models used for notes that included a valuation cap, equity values, risk-free rate and volatility.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restructuring - related party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70,000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 Upon the occurrence, and during the continuance, of an Event of Default (as defined in the agreement), interest on the 2024 CP BF Convertible Note will bear PIK interest at a per annum rate of 20% (“2024 Default Rate”).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40" w:name="page141"/>
    <w:bookmarkEnd w:id="140"/>
    <w:p>
      <w:pPr>
        <w:jc w:val="both"/>
        <w:spacing w:after="0" w:line="282" w:lineRule="auto"/>
        <w:rPr>
          <w:sz w:val="20"/>
          <w:szCs w:val="20"/>
          <w:color w:val="auto"/>
        </w:rPr>
      </w:pPr>
      <w:r>
        <w:rPr>
          <w:rFonts w:ascii="Times New Roman" w:cs="Times New Roman" w:eastAsia="Times New Roman" w:hAnsi="Times New Roman"/>
          <w:sz w:val="18"/>
          <w:szCs w:val="18"/>
          <w:color w:val="auto"/>
        </w:rPr>
        <w:t>hereunder with respect to the principal amount so prepaid. The 2024 CP BF Convertible Note obtain features that relate to the mandatory prepayment, either partially or in whole, upon certain contingent events.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Subsequent changes in fair value of the feature will be recognized as a gain or loss in the Consolidated Statement of Operations. The fair value of the bifurcated derivative asset was estimated utilizing the with and without method which uses the probability weighted difference between the scenarios with the derivative and the plain vanilla maturity scenario without a derivative (See Note 8 -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w:t>
      </w:r>
      <w:r>
        <w:rPr>
          <w:rFonts w:ascii="Times New Roman" w:cs="Times New Roman" w:eastAsia="Times New Roman" w:hAnsi="Times New Roman"/>
          <w:sz w:val="18"/>
          <w:szCs w:val="18"/>
          <w:color w:val="auto"/>
        </w:rPr>
        <w:t>). For the year ended December 31, 2024, the fair value of the bifurcated derivatives totaled to $51,000. The Company recorded a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change in fair value of the bifurcated derivatives of $51,000 for the year ended December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exercised its optional conversion option in which it received 55,600 Class A Common Stock at the fixed conversion price per share of $3.89 in satisfaction of $216,284 of the Companies obligations under the 2024 CP BF Convertible Note.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260,849 shares of Class A Common Stock, CP BF Warrants to purchase up to 565,553 shares of Class A Common Stock and CP BF Pre-Funded Warrants to purchase up to 304,704 shares of Class A Common Stock (all such securities and shares collectively referred to as the “CP BF Registrable Securities”). The CP BF Warrant can be exercised at an initial exercise price of $3.89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Joe Davy, agreed not to sell an aggregate of 2,311,143 shares of Class B Common Stock that he owns until such time as CP BF no longer owns any of the CP BF Registrable Securities.</w:t>
      </w:r>
    </w:p>
    <w:p>
      <w:pPr>
        <w:spacing w:after="0" w:line="200" w:lineRule="exact"/>
        <w:rPr>
          <w:sz w:val="20"/>
          <w:szCs w:val="20"/>
          <w:color w:val="auto"/>
        </w:rPr>
      </w:pP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further discussed in Note 18 - Equity, 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in an aggregate amount upon the sale of the Company's capital stock equal to 20% of the cash proceeds in excess of $3,000,000. The Company paid a total of $283,315 of which satisfied outstanding principal under the 2024 CP BF Convertible Note.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15.4% for the year ended December 31, 2024. For the year ended December 31, 2024, interest expense on the 2024 CP BF Convertible Note totaled $368,525 consisting of $369,459 of contractual interest offset by $934 of amortization of the debt premium.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December 31, 2024:</w:t>
            </w:r>
          </w:p>
        </w:tc>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9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8,758,775</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premium, net</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11,066</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8,769,841</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369,459</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made</w:t>
            </w: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(283,315 )</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Conversions</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(216,284 )</w:t>
            </w: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8,639,701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Old CP BF convertible notes as of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41" w:name="page142"/>
    <w:bookmarkEnd w:id="141"/>
    <w:p>
      <w:pPr>
        <w:ind w:left="20"/>
        <w:spacing w:after="0"/>
        <w:rPr>
          <w:sz w:val="20"/>
          <w:szCs w:val="20"/>
          <w:color w:val="auto"/>
        </w:rPr>
      </w:pPr>
      <w:r>
        <w:rPr>
          <w:rFonts w:ascii="Times New Roman" w:cs="Times New Roman" w:eastAsia="Times New Roman" w:hAnsi="Times New Roman"/>
          <w:sz w:val="18"/>
          <w:szCs w:val="18"/>
          <w:color w:val="auto"/>
        </w:rPr>
        <w:t>Face value of the CP BF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discount, net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Carrying value of the CP BF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Carrying value of the CP BF term note extinguished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Old CP BF convertible notes as of December 31, 2023:</w:t>
      </w:r>
    </w:p>
    <w:p>
      <w:pPr>
        <w:spacing w:after="0" w:line="20" w:lineRule="exact"/>
        <w:rPr>
          <w:sz w:val="20"/>
          <w:szCs w:val="20"/>
          <w:color w:val="auto"/>
        </w:rPr>
      </w:pPr>
      <w:r>
        <w:rPr>
          <w:sz w:val="20"/>
          <w:szCs w:val="20"/>
          <w:color w:val="auto"/>
        </w:rPr>
        <w:br w:type="column"/>
      </w:r>
    </w:p>
    <w:p>
      <w:pPr>
        <w:ind w:left="1145" w:hanging="1145"/>
        <w:spacing w:after="0"/>
        <w:tabs>
          <w:tab w:leader="none" w:pos="11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1,821,345</w:t>
      </w:r>
    </w:p>
    <w:p>
      <w:pPr>
        <w:spacing w:after="0" w:line="27" w:lineRule="exact"/>
        <w:rPr>
          <w:rFonts w:ascii="Times New Roman" w:cs="Times New Roman" w:eastAsia="Times New Roman" w:hAnsi="Times New Roman"/>
          <w:sz w:val="18"/>
          <w:szCs w:val="18"/>
          <w:color w:val="auto"/>
        </w:rPr>
      </w:pPr>
    </w:p>
    <w:p>
      <w:pPr>
        <w:ind w:left="13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(17,370 )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12687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2">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1"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8"/>
          <w:szCs w:val="18"/>
          <w:color w:val="auto"/>
        </w:rPr>
        <w:t>1,803,975</w:t>
      </w:r>
    </w:p>
    <w:p>
      <w:pPr>
        <w:spacing w:after="0" w:line="23"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8"/>
          <w:szCs w:val="18"/>
          <w:color w:val="auto"/>
        </w:rPr>
        <w:t>1,240,297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(3,044,272 )</w:t>
      </w:r>
    </w:p>
    <w:p>
      <w:pPr>
        <w:spacing w:after="0" w:line="9" w:lineRule="exact"/>
        <w:rPr>
          <w:sz w:val="20"/>
          <w:szCs w:val="20"/>
          <w:color w:val="auto"/>
        </w:rPr>
      </w:pPr>
    </w:p>
    <w:p>
      <w:pPr>
        <w:ind w:left="5"/>
        <w:spacing w:after="0"/>
        <w:tabs>
          <w:tab w:leader="none" w:pos="166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2687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3">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12687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8535" w:space="720"/>
            <w:col w:w="1985"/>
          </w:cols>
          <w:pgMar w:left="320" w:top="1309" w:right="339" w:bottom="1440" w:gutter="0" w:footer="0" w:header="0"/>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1,821,345</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(41,983 )</w:t>
            </w:r>
          </w:p>
        </w:tc>
      </w:tr>
      <w:tr>
        <w:trPr>
          <w:trHeight w:val="20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1,779,362</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914,479</w:t>
            </w: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2,693,841</w:t>
            </w:r>
          </w:p>
        </w:tc>
      </w:tr>
    </w:tbl>
    <w:p>
      <w:pPr>
        <w:spacing w:after="0" w:line="198" w:lineRule="exact"/>
        <w:rPr>
          <w:sz w:val="20"/>
          <w:szCs w:val="20"/>
          <w:color w:val="auto"/>
        </w:rPr>
      </w:pPr>
    </w:p>
    <w:p>
      <w:pPr>
        <w:sectPr>
          <w:pgSz w:w="11900" w:h="16838" w:orient="portrait"/>
          <w:cols w:equalWidth="0" w:num="1">
            <w:col w:w="11240"/>
          </w:cols>
          <w:pgMar w:left="320" w:top="130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 presents the Old CP BF term note as of December 31, 2024:</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Face value of the CP BF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discount, net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Carrying value of the CP BF 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Carrying value of the CP BF term note extinguished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CP BF term note and accrued interest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Old CP BF term note as of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145" w:hanging="1145"/>
        <w:spacing w:after="0"/>
        <w:tabs>
          <w:tab w:leader="none" w:pos="11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6,500,000</w:t>
      </w:r>
    </w:p>
    <w:p>
      <w:pPr>
        <w:spacing w:after="0" w:line="27" w:lineRule="exact"/>
        <w:rPr>
          <w:rFonts w:ascii="Times New Roman" w:cs="Times New Roman" w:eastAsia="Times New Roman" w:hAnsi="Times New Roman"/>
          <w:sz w:val="18"/>
          <w:szCs w:val="18"/>
          <w:color w:val="auto"/>
        </w:rPr>
      </w:pPr>
    </w:p>
    <w:p>
      <w:pPr>
        <w:ind w:left="13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(50,961 )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12687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8">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8"/>
          <w:szCs w:val="18"/>
          <w:color w:val="auto"/>
        </w:rPr>
        <w:t>6,449,039</w:t>
      </w:r>
    </w:p>
    <w:p>
      <w:pPr>
        <w:spacing w:after="0" w:line="23" w:lineRule="exact"/>
        <w:rPr>
          <w:sz w:val="20"/>
          <w:szCs w:val="20"/>
          <w:color w:val="auto"/>
        </w:rPr>
      </w:pPr>
    </w:p>
    <w:p>
      <w:pPr>
        <w:ind w:left="1285"/>
        <w:spacing w:after="0"/>
        <w:rPr>
          <w:sz w:val="20"/>
          <w:szCs w:val="20"/>
          <w:color w:val="auto"/>
        </w:rPr>
      </w:pPr>
      <w:r>
        <w:rPr>
          <w:rFonts w:ascii="Times New Roman" w:cs="Times New Roman" w:eastAsia="Times New Roman" w:hAnsi="Times New Roman"/>
          <w:sz w:val="18"/>
          <w:szCs w:val="18"/>
          <w:color w:val="auto"/>
        </w:rPr>
        <w:t>853,451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(7,302,490 )</w:t>
      </w:r>
    </w:p>
    <w:p>
      <w:pPr>
        <w:spacing w:after="0" w:line="9" w:lineRule="exact"/>
        <w:rPr>
          <w:sz w:val="20"/>
          <w:szCs w:val="20"/>
          <w:color w:val="auto"/>
        </w:rPr>
      </w:pPr>
    </w:p>
    <w:p>
      <w:pPr>
        <w:ind w:left="5"/>
        <w:spacing w:after="0"/>
        <w:tabs>
          <w:tab w:leader="none" w:pos="166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2687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9">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12687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8535" w:space="720"/>
            <w:col w:w="1985"/>
          </w:cols>
          <w:pgMar w:left="320" w:top="1309"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Face value of the CP BF term note</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6,500,000</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(129,586 )</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the CP BF term note</w:t>
            </w: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6,370,414</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289,373</w:t>
            </w: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CP BF term note and accrued interest</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6,659,787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Notes (Agile)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$2,400,000 and received $1,782,438 of proceeds, net of administrative agent fees of $120,000 paid to the collateral agent, and net of payments to Agile Lending, LLC of $319,500 and $178,063 in respect to early prepayment of the remaining outstanding balances of the July Agile Note and September Agile Note, with a maturity date 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42" w:name="page143"/>
    <w:bookmarkEnd w:id="142"/>
    <w:p>
      <w:pPr>
        <w:jc w:val="both"/>
        <w:spacing w:after="0" w:line="266" w:lineRule="auto"/>
        <w:rPr>
          <w:sz w:val="20"/>
          <w:szCs w:val="20"/>
          <w:color w:val="auto"/>
        </w:rPr>
      </w:pPr>
      <w:r>
        <w:rPr>
          <w:rFonts w:ascii="Times New Roman" w:cs="Times New Roman" w:eastAsia="Times New Roman" w:hAnsi="Times New Roman"/>
          <w:sz w:val="18"/>
          <w:szCs w:val="18"/>
          <w:color w:val="auto"/>
        </w:rPr>
        <w:t>the December Agile Note of July 10, 2025. The December Agile Note bears interest at a rate of 44%, and interest will be calculated on a three hundred and sixty (360) day year based on the actual number of days lapsed, and interest shall accrue on the December Agile Note commencing on and including the effective date pursuant to the December Agile Note Agreement’s weekly repayment and amortization schedule.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July Agile Note, the September Agile Note, and the December Agile Note are together referred to as the “Agile Notes”.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Agile Notes include contingent redemption (put) rights which trigger mandatory prepayment and a make-whole premium upon certain events including an event of default, and defaulted contingent interest upon an event of default.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Agile Notes totaled $100,095 for the year ended December 31, 2024 and is included in the fair value of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Agile Notes as of December 31, 2024:</w:t>
      </w:r>
    </w:p>
    <w:p>
      <w:pPr>
        <w:spacing w:after="0" w:line="22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Fair Value</w:t>
      </w:r>
    </w:p>
    <w:p>
      <w:pPr>
        <w:sectPr>
          <w:pgSz w:w="11900" w:h="16838" w:orient="portrait"/>
          <w:cols w:equalWidth="0" w:num="1">
            <w:col w:w="11240"/>
          </w:cols>
          <w:pgMar w:left="320" w:top="1269"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Agile term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Loss on debt issuance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Repayments in cash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1" w:lineRule="exact"/>
        <w:rPr>
          <w:sz w:val="20"/>
          <w:szCs w:val="20"/>
          <w:color w:val="auto"/>
        </w:rPr>
      </w:pPr>
    </w:p>
    <w:p>
      <w:pPr>
        <w:ind w:left="20" w:right="2880"/>
        <w:spacing w:after="0" w:line="282" w:lineRule="auto"/>
        <w:rPr>
          <w:sz w:val="20"/>
          <w:szCs w:val="20"/>
          <w:color w:val="auto"/>
        </w:rPr>
      </w:pPr>
      <w:r>
        <w:rPr>
          <w:rFonts w:ascii="Times New Roman" w:cs="Times New Roman" w:eastAsia="Times New Roman" w:hAnsi="Times New Roman"/>
          <w:sz w:val="18"/>
          <w:szCs w:val="18"/>
          <w:color w:val="auto"/>
        </w:rPr>
        <w:t>Outstanding principal balance as of December 31, 2024 Accrued interest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(1800 Diagonal)</w:t>
      </w:r>
    </w:p>
    <w:p>
      <w:pPr>
        <w:spacing w:after="0" w:line="229"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400" w:type="dxa"/>
            <w:vAlign w:val="bottom"/>
            <w:tcBorders>
              <w:top w:val="single" w:sz="8" w:color="auto"/>
            </w:tcBorders>
          </w:tcPr>
          <w:p>
            <w:pPr>
              <w:jc w:val="right"/>
              <w:ind w:right="12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400" w:type="dxa"/>
            <w:vAlign w:val="bottom"/>
          </w:tcPr>
          <w:p>
            <w:pPr>
              <w:spacing w:after="0"/>
              <w:rPr>
                <w:sz w:val="18"/>
                <w:szCs w:val="18"/>
                <w:color w:val="auto"/>
              </w:rPr>
            </w:pP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3,450,000</w:t>
            </w:r>
          </w:p>
        </w:tc>
      </w:tr>
      <w:tr>
        <w:trPr>
          <w:trHeight w:val="216"/>
        </w:trPr>
        <w:tc>
          <w:tcPr>
            <w:tcW w:w="1400" w:type="dxa"/>
            <w:vAlign w:val="bottom"/>
          </w:tcPr>
          <w:p>
            <w:pPr>
              <w:spacing w:after="0"/>
              <w:rPr>
                <w:sz w:val="18"/>
                <w:szCs w:val="18"/>
                <w:color w:val="auto"/>
              </w:rPr>
            </w:pP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390,000</w:t>
            </w:r>
          </w:p>
        </w:tc>
      </w:tr>
      <w:tr>
        <w:trPr>
          <w:trHeight w:val="216"/>
        </w:trPr>
        <w:tc>
          <w:tcPr>
            <w:tcW w:w="1400" w:type="dxa"/>
            <w:vAlign w:val="bottom"/>
          </w:tcPr>
          <w:p>
            <w:pPr>
              <w:spacing w:after="0"/>
              <w:rPr>
                <w:sz w:val="18"/>
                <w:szCs w:val="18"/>
                <w:color w:val="auto"/>
              </w:rPr>
            </w:pP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1,071,563</w:t>
            </w:r>
          </w:p>
        </w:tc>
      </w:tr>
      <w:tr>
        <w:trPr>
          <w:trHeight w:val="216"/>
        </w:trPr>
        <w:tc>
          <w:tcPr>
            <w:tcW w:w="14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(1,857,151 )</w:t>
            </w:r>
          </w:p>
        </w:tc>
      </w:tr>
      <w:tr>
        <w:trPr>
          <w:trHeight w:val="234"/>
        </w:trPr>
        <w:tc>
          <w:tcPr>
            <w:tcW w:w="1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88,588</w:t>
            </w:r>
          </w:p>
        </w:tc>
      </w:tr>
      <w:tr>
        <w:trPr>
          <w:trHeight w:val="210"/>
        </w:trPr>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3,143,000</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394"/>
        </w:trPr>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2,269,695</w:t>
            </w:r>
          </w:p>
        </w:tc>
      </w:tr>
      <w:tr>
        <w:trPr>
          <w:trHeight w:val="234"/>
        </w:trPr>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100,095</w:t>
            </w:r>
          </w:p>
        </w:tc>
      </w:tr>
    </w:tbl>
    <w:p>
      <w:pPr>
        <w:sectPr>
          <w:pgSz w:w="11900" w:h="16838" w:orient="portrait"/>
          <w:cols w:equalWidth="0" w:num="2">
            <w:col w:w="6900" w:space="720"/>
            <w:col w:w="3620"/>
          </w:cols>
          <w:pgMar w:left="320" w:top="1269" w:right="339" w:bottom="1440" w:gutter="0" w:footer="0" w:header="0"/>
          <w:type w:val="continuous"/>
        </w:sectPr>
      </w:pPr>
    </w:p>
    <w:bookmarkStart w:id="143" w:name="page144"/>
    <w:bookmarkEnd w:id="143"/>
    <w:p>
      <w:pPr>
        <w:jc w:val="both"/>
        <w:spacing w:after="0" w:line="255"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$152,000 of proceeds, net of an original issue discount of $24,000 and issuance costs of $8,000 for due diligence and legal fees,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$100,000 of proceeds, net of an original discount of $16,200 and issuance costs of $8,000 for due diligence and legal fees, with a maturity date of July 30, 2025. The stated interest rate on the September Note is 12% per annum, and interest shall accrue on the September Note commencing on and including the issuance date pursuant to the September Note Agreement's repayment and amortization schedule.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$124,200 and received $100,000 of proceeds, net of an original discount of $16,200 and issuance costs of $8,000 for due diligence and legal fees, with a maturity date of October 15, 2025. The stated interest rate on the December Note is 12% per annum, and interest shall accrue on the December Note commencing on and including the issuance date pursuant to the December Note Agreement's repayment and amortization schedule.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August 1800 Diagonal Note, the September 1800 Diagonal Note, and the December 1800 Diagonal Note are together referred to as the “1800 Diagonal Notes”.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1800 Diagonal Notes include optional conversion rights to the holder upon an event of default, contingent redemption (put) rights which trigger mandatory prepayment upon event of default, and defaulted contingent interest upon an event of default.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these embedded features within the 1800 Diagonal Notes, the Company elected to account for the 1800 Agile Notes at fair value at their respective dates of issuance and in subsequent reporting periods,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on the 1800 Diagonal Notes totaled approximately $12,251 for the year ended December 31, 2024 and is included in the fair value of the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as of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1800 Diagonal convertible notes</w:t>
            </w:r>
          </w:p>
        </w:tc>
        <w:tc>
          <w:tcPr>
            <w:tcW w:w="3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432,400</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92,208</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in cash</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(82,432 )</w:t>
            </w: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(10,176 )</w:t>
            </w:r>
          </w:p>
        </w:tc>
      </w:tr>
      <w:tr>
        <w:trPr>
          <w:trHeight w:val="21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432,000</w:t>
            </w:r>
          </w:p>
        </w:tc>
      </w:tr>
      <w:tr>
        <w:trPr>
          <w:trHeight w:val="20"/>
        </w:trPr>
        <w:tc>
          <w:tcPr>
            <w:tcW w:w="9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9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 as of December 31, 2024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370,886</w:t>
            </w: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as of December 31, 2024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15,935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Warrant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in the Merger, exercisable into 230,000 shares of Common Stock of the Company, and which remained outstanding as of December 31, 2024. The Public Warrants have an exercise price of $575.00 per share, subject to adjustments, and will expire five years from the Merger Closing Date.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As the Resale Registration Statement was declared effective within the contractual 60-day term upon closing of the Merger, no "cashless basis" exercises were triggered during the period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$900.00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960" w:hanging="51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$0.50 per Warrant;</w:t>
      </w:r>
    </w:p>
    <w:p>
      <w:pPr>
        <w:spacing w:after="0" w:line="117"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117" w:lineRule="exact"/>
        <w:rPr>
          <w:rFonts w:ascii="Times New Roman" w:cs="Times New Roman" w:eastAsia="Times New Roman" w:hAnsi="Times New Roman"/>
          <w:sz w:val="18"/>
          <w:szCs w:val="18"/>
          <w:color w:val="auto"/>
        </w:rPr>
      </w:pPr>
    </w:p>
    <w:p>
      <w:pPr>
        <w:jc w:val="both"/>
        <w:ind w:left="960" w:hanging="512"/>
        <w:spacing w:after="0" w:line="261"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$900.00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18"/>
          <w:szCs w:val="18"/>
          <w:color w:val="auto"/>
        </w:rPr>
        <w:t>its Public Warrant prior to the scheduled redemption date. However, the price per share of Class A Common Stock may fall below the $900.00 redemption trigger price (as adjusted for adjustments to the number of shares issuable upon exercise or the exercise price of a Public Warrant as described under the heading “-Warrants—Public Stockholder Warrants—Anti-dilution Adjustments”) as well as the $575.00 (for whole shares) Public Warrant exercise price after the redemption notice is issued.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16,571 shares at an exercise price of $324.50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(as discussed in Note 5), the exercise price of the GEM Warrants were adjusted to the price equal to 105% of the consideration per share paid which resulted in a strike price of $1.83. The effect of the change in strike price feature being triggered resulted in a change of value of approximately $15,000 which is recorded in the statement of operations line change in fair value of warrant liability.</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As of December 31, 2024 and December 31, 2023, the fair value of the Warrants, as determined by the Monte Carlo simulation option pricing model, were $15,000 and $641,000,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Simple Agreements for Future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Simple Agreements for Future Equity - Related Party</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During 2021, the Company entered into Simple Agreements for Future Equity (SAFE) arrangements with related parties Alco and DNX (See </w:t>
      </w:r>
      <w:r>
        <w:rPr>
          <w:rFonts w:ascii="Times New Roman" w:cs="Times New Roman" w:eastAsia="Times New Roman" w:hAnsi="Times New Roman"/>
          <w:sz w:val="18"/>
          <w:szCs w:val="18"/>
          <w:i w:val="1"/>
          <w:iCs w:val="1"/>
          <w:color w:val="auto"/>
        </w:rPr>
        <w:t>Note 14 -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 description of the related party relationship with these entities) (the "Related Party SAFEs") pursuant to which the Company received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in the amount of $3,567,000. In the event of an Equity Financing (as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6" w:name="page147"/>
    <w:bookmarkEnd w:id="146"/>
    <w:p>
      <w:pPr>
        <w:jc w:val="both"/>
        <w:spacing w:after="0" w:line="255" w:lineRule="auto"/>
        <w:rPr>
          <w:sz w:val="20"/>
          <w:szCs w:val="20"/>
          <w:color w:val="auto"/>
        </w:rPr>
      </w:pPr>
      <w:r>
        <w:rPr>
          <w:rFonts w:ascii="Times New Roman" w:cs="Times New Roman" w:eastAsia="Times New Roman" w:hAnsi="Times New Roman"/>
          <w:sz w:val="18"/>
          <w:szCs w:val="18"/>
          <w:color w:val="auto"/>
        </w:rPr>
        <w:t>defined in the SAFEs agreements), the Related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Related Party SAFEs will be entitled to receive cash or shares of the Company’s common or preferred stock. The Related Party SAFEs were recorded as a liability in accordance with the applicable accounting guidance as they are redeemable for cash upon contingent events that are outside of the Company’s control. The initial fair value of the Related Party SAFE liability was $3,567,000. Subsequent changes in fair value at each reporting period are recognized in the consolidated statement of operations. For the year ended December 31, 2023, the Company recognized a gain of $2,752,430 for the change in fair value of the Related Party SAFE liability,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Monte Carlo simulation to determine the fair value of the Related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14, 2023, all outstanding principal related to the Related Party SAFEs at a carrying value of $6,049,766 converted into 11,040 shares the Company’s Class A Common Stock pursuant to the close of the Merger Agreement and application of the exchange ratio.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Simple Agreements for Future Equity - Third Party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Simple Agreements for Future Equity (SAFE) arrangements with third party investors (the "Third Party SAFEs") pursuant to which the Company received gross proceeds in the amount of $269,000. In the event of an Equity Financing (as defined in the SAFEs agreements), the Third Party SAFEs will automatically convert into shares of the Company’s common or preferred stock at a discount of 15% of the per share price of the shares offered in the Equity Financing (the “Discount Price”). In the event of a Liquidity Event, SPAC Transaction or Dissolution Event (all terms as defined in the SAFEs agreements), the holders of the Third Party SAFEs will be entitled to receive cash or shares of the Company’s common or preferred stock. The Third Party SAFEs were recorded as a liability in accordance with the applicable accounting guidance as they are redeemable for cash upon contingent events that are outside of the Company’s control. The initial fair value of the Third Party SAFE liability was $269,000. Subsequent changes in fair value at each reporting period are recognized in the Consolidated Statement of Operations. For the year ended December 31, 2023, the Company recognized a gain of $207,570 for the change in fair value of the Third Party SAFE liability.</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combination of scenario-based methods and Monte Carlo simulation to determine the fair value of the Third Party SAFE liability as of the valuation dates.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14, 2023, all outstanding principal related to the Third Party SAFEs at a carrying value of $456,234 converted into 833 shares the Company’s Class A Common Stock pursuant to the close of the Merger Agreement and application of the exchange ratio.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its real estate across multiple states. The operating leases have remaining lease terms of approximately 2.83 years as of December 31, 2024 and consist primarily of office space.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 agreements generally do not provide an implicit borrowing rate. Therefore, the Company used a benchmark approach to derive an appropriate incremental borrowing rate to discount remaining lease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There are no material residual guarantees associated with any of the Company’s leases, and there are no significant restrictions or covenants included in the Company’s lease agreements.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existing leases contain escalation clauses and renewal options. The Company is not reasonably certain that renewal options will be exercised upon expiration of the initial terms of its existing leases.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47" w:name="page148"/>
    <w:bookmarkEnd w:id="14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a sublease which it has identified as an operating lease prior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2024 and 2023, are as follows: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145,674</w:t>
            </w:r>
          </w:p>
        </w:tc>
        <w:tc>
          <w:tcPr>
            <w:tcW w:w="80" w:type="dxa"/>
            <w:vAlign w:val="bottom"/>
            <w:shd w:val="clear" w:color="auto" w:fill="CFF0FC"/>
          </w:tcPr>
          <w:p>
            <w:pPr>
              <w:spacing w:after="0"/>
              <w:rPr>
                <w:sz w:val="18"/>
                <w:szCs w:val="18"/>
                <w:color w:val="auto"/>
              </w:rPr>
            </w:pPr>
          </w:p>
        </w:tc>
        <w:tc>
          <w:tcPr>
            <w:tcW w:w="26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199,611</w:t>
            </w: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(117,084 )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(204,324 )</w:t>
            </w:r>
          </w:p>
        </w:tc>
      </w:tr>
      <w:tr>
        <w:trPr>
          <w:trHeight w:val="249"/>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(income) cost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80" w:type="dxa"/>
            <w:vAlign w:val="bottom"/>
            <w:shd w:val="clear" w:color="auto" w:fill="CFF0FC"/>
          </w:tcPr>
          <w:p>
            <w:pPr>
              <w:spacing w:after="0"/>
              <w:rPr>
                <w:sz w:val="21"/>
                <w:szCs w:val="21"/>
                <w:color w:val="auto"/>
              </w:rPr>
            </w:pPr>
          </w:p>
        </w:tc>
        <w:tc>
          <w:tcPr>
            <w:tcW w:w="26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(4,713 )</w:t>
            </w:r>
          </w:p>
        </w:tc>
      </w:tr>
      <w:tr>
        <w:trPr>
          <w:trHeight w:val="413"/>
        </w:trPr>
        <w:tc>
          <w:tcPr>
            <w:tcW w:w="74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432"/>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137,717</w:t>
            </w:r>
          </w:p>
        </w:tc>
        <w:tc>
          <w:tcPr>
            <w:tcW w:w="80" w:type="dxa"/>
            <w:vAlign w:val="bottom"/>
          </w:tcPr>
          <w:p>
            <w:pPr>
              <w:spacing w:after="0"/>
              <w:rPr>
                <w:sz w:val="18"/>
                <w:szCs w:val="18"/>
                <w:color w:val="auto"/>
              </w:rPr>
            </w:pPr>
          </w:p>
        </w:tc>
        <w:tc>
          <w:tcPr>
            <w:tcW w:w="2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173,245</w:t>
            </w:r>
          </w:p>
        </w:tc>
      </w:tr>
      <w:tr>
        <w:trPr>
          <w:trHeight w:val="216"/>
        </w:trPr>
        <w:tc>
          <w:tcPr>
            <w:tcW w:w="7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(237,607 )</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(284,963 )</w:t>
            </w:r>
          </w:p>
        </w:tc>
      </w:tr>
      <w:tr>
        <w:trPr>
          <w:trHeight w:val="21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76,269</w:t>
            </w:r>
          </w:p>
        </w:tc>
        <w:tc>
          <w:tcPr>
            <w:tcW w:w="80" w:type="dxa"/>
            <w:vAlign w:val="bottom"/>
            <w:shd w:val="clear" w:color="auto" w:fill="CFF0FC"/>
          </w:tcPr>
          <w:p>
            <w:pPr>
              <w:spacing w:after="0"/>
              <w:rPr>
                <w:sz w:val="18"/>
                <w:szCs w:val="18"/>
                <w:color w:val="auto"/>
              </w:rPr>
            </w:pPr>
          </w:p>
        </w:tc>
        <w:tc>
          <w:tcPr>
            <w:tcW w:w="26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72,565</w:t>
            </w:r>
          </w:p>
        </w:tc>
        <w:tc>
          <w:tcPr>
            <w:tcW w:w="80" w:type="dxa"/>
            <w:vAlign w:val="bottom"/>
            <w:shd w:val="clear" w:color="auto" w:fill="CFF0FC"/>
          </w:tcPr>
          <w:p>
            <w:pPr>
              <w:spacing w:after="0"/>
              <w:rPr>
                <w:sz w:val="18"/>
                <w:szCs w:val="18"/>
                <w:color w:val="auto"/>
              </w:rPr>
            </w:pPr>
          </w:p>
        </w:tc>
        <w:tc>
          <w:tcPr>
            <w:tcW w:w="26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134,013</w:t>
            </w:r>
          </w:p>
        </w:tc>
      </w:tr>
      <w:tr>
        <w:trPr>
          <w:trHeight w:val="210"/>
        </w:trPr>
        <w:tc>
          <w:tcPr>
            <w:tcW w:w="74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234,043</w:t>
            </w:r>
          </w:p>
        </w:tc>
      </w:tr>
      <w:tr>
        <w:trPr>
          <w:trHeight w:val="216"/>
        </w:trPr>
        <w:tc>
          <w:tcPr>
            <w:tcW w:w="7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49,974</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72,705</w:t>
            </w:r>
          </w:p>
        </w:tc>
        <w:tc>
          <w:tcPr>
            <w:tcW w:w="80" w:type="dxa"/>
            <w:vAlign w:val="bottom"/>
          </w:tcPr>
          <w:p>
            <w:pPr>
              <w:spacing w:after="0"/>
              <w:rPr>
                <w:sz w:val="18"/>
                <w:szCs w:val="18"/>
                <w:color w:val="auto"/>
              </w:rPr>
            </w:pPr>
          </w:p>
        </w:tc>
        <w:tc>
          <w:tcPr>
            <w:tcW w:w="2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234,043</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gridSpan w:val="2"/>
          </w:tcPr>
          <w:p>
            <w:pPr>
              <w:spacing w:after="0" w:line="20" w:lineRule="exact"/>
              <w:rPr>
                <w:sz w:val="1"/>
                <w:szCs w:val="1"/>
                <w:color w:val="auto"/>
              </w:rPr>
            </w:pPr>
          </w:p>
        </w:tc>
      </w:tr>
      <w:tr>
        <w:trPr>
          <w:trHeight w:val="4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(in years)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r>
      <w:tr>
        <w:trPr>
          <w:trHeight w:val="4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-3402330</wp:posOffset>
            </wp:positionV>
            <wp:extent cx="93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-3385185</wp:posOffset>
            </wp:positionV>
            <wp:extent cx="939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93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939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28,608</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29,466</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25,167</w:t>
            </w: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7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83,241</w:t>
            </w:r>
          </w:p>
        </w:tc>
      </w:tr>
      <w:tr>
        <w:trPr>
          <w:trHeight w:val="21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discounting</w:t>
            </w: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(10,536 )</w:t>
            </w: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72,705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Cantor Fee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48" w:name="page149"/>
    <w:bookmarkEnd w:id="148"/>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Merger, 7GC previously agreed to pay Cantor Fitzgerald &amp; Co. ("Cantor" or "CF&amp;CO") an Original Deferred Fee of $8,050,000 as deferred underwriting commissions. On November 8, 2023, Cantor and 7GC entered into a Fee Reduction Agreement, pursuant to which Cantor agreed to forfeit $4,050,000 of the $8,050,000 Original Deferred Fee, with the remaining $4,000,000 Reduced Deferred Fee payable by Banzai to Cantor following the Closing of the Merger.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Fee Reduction Agreement, the Company agreed to use its reasonable best efforts to have the registration statement declared effective by the SEC by the 120th calendar day after December 29, 2023, the date of the initial filing thereof, and to maintain the effectiveness of such registration statement until the earliest to occur of (i) the second anniversary of the date of the effectiveness thereof, (ii) the Cantor Fee Shares shall have been sold, transferred, disposed of or exchanged by Cantor, and (iii) the Cantor Fee Shares issued to Cantor may be sold without registration pursuant to Rule 144 under the Securities Act (such obligations, the “Cantor Registration Rights Obligations”).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satisfied its Cantor Registration Rights Obligations. Therefore, the liability was derecognized as of December 31, 2024 and the relief of the liability was recorded through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Consulting Agreement with MZHCI,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2024, the Company entered into an Investor Relations Consulting Agreement (the “Consulting Agreement”) with MZHCI, LLC, a MZ Group Company (“MZHCI”), pursuant to which the Company agreed to issue 24,000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24,000 shares to MZHCI. The shares are exempt from registration pursuant to Section 4(a)(2) of the Securities Act of 1933, as amended, and were issued as restricted stock with an appropriate restrictive legend.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Roth Addendum to Letter Agreements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5, 2022, the Company engaged Roth Capital Partners, LLC (“Roth”) to act as financial advisor to the Company in its then proposed business combination with 7GC &amp; Co. Holdings, Inc. (“7GC”), pursuant to an agreement (the “Roth Agreement”). On October 14, 2022, 7GC entered into a similar agreement where MKM Partners, LLC, later acquired by Roth, would act as financial advisor to 7GC in its then proposed business combination with the Company (the “7GC Agreement”, together with the Roth Agreement, the “Letter Agreements”). On February 2, 2024, the Company entered into an Addendum to the Letter Agreements with Roth (the “Addendum”), where the Company agreed to pay the fees owed under the Roth Agreement and 7GC Agreement by (1) issuing to Roth 3,500 shares and amending the Company’s registration statement on Form S-1 filed with the SEC on December 29, 2023 to include the initial 3,500 shares to be issued, and 120,000 shares that may be issued as additional shares, as defined in the Addendum, to Roth, and (2) on or before June 30, 2024, the Company shall pay to Roth an amount in cash equal to $300,000 (the “Cash Fee”); provided that, if, as a result of the Company’s cash position at such time, the Company determines in its reasonable discretion that the cash payment should not be made in cash, then the Company may elect to satisfy the cash payment by issuing to Roth, within three business days of such date, additional shares. The number of shares to be issued pursuant to the Addendum shall be determined by dividing the amount of the cash payment by the VWAP for the trading day immediately preceding the cash payment date. On September 6, 2024, the Company issued 35,294 shares to Roth in lieu of the Cash Fee. The shares are exempt from registration pursuant to Section 4(a)(2) of the Securities Act of 1933, as amended, and are to be issued as restricted stock with an appropriate restrictive legend. No gain or loss was recognized upon the settlement of the outstanding debt and all obligations to Roth have been relieved as of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Repayment Agreement with J.V.B Financial Group, LLC</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49" w:name="page150"/>
    <w:bookmarkEnd w:id="149"/>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“Original J.V.B Agreement”) with J.V.B Financial Group, LLC (“J.V.B”) acting through Cohen &amp; Company Capital Markets Division (“Cohen”), pursuant to which the parties agreed that for services previously rendered valued at $115,000 (the “Outstanding Debt”), the Company shall issue J.V.B. unrestricted, freely-trading, registered shares of Common Stock pursuant to a resale registration statement on Form S-1 or S-3. On September 9, 2024, the Company and J.V.B. entered into an Amended and Restated Repayment Agreement (the “Amended J.V.B Agreement”) that allowed for the Outstanding Debt to be paid through the issuance of 29,077 shares to J.V.B. As of December 31, 2024, the Company has issued 29,077 shares to J.V.B. in exchange for the cancellation of the Outstanding Debt. No gain or loss was recognized upon the settlement of the outstanding debt and all obligations to J.V.B. have been relieved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Alco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and Alco agreed to convert an aggregate balance of $4,711,681 of debt, representing the aggregate total balance outstanding to Alco as of that date (excl. the carrying value of debt discounts), into 282,420 shares of Class A Common Stock, Warrants to purchase up to 1,331,340 shares of Class A Common Stock and Pre-Funded Warrants to purchase up to 1,048,920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per the consolidated statement of operations for the year ended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Perkins Coie LLP</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“Perkins Repayment Agreement”) where the Company agreed to issue $1,385,000 worth of shares, which the Company shall register no fewer than 460,000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has issued 600,000 shares to Perkins to settle part of the outstanding liability balance. The remaining unpaid fee balance to be paid with the issuance of additional shares has not yet been made as of the date of filing of these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Activate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owed Activate, Inc. $261,200 for past services rendered. The parties agreed to write off 50% of that balance and for the remaining balance to be paid at the close of the Company’s next capital raise. During the year ended December 31, 2024, the Company recorded a gain on settlement of $130,500.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Cooley LLP</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Letter with CohnReznick LLP</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0" w:name="page151"/>
    <w:bookmarkEnd w:id="150"/>
    <w:p>
      <w:pPr>
        <w:jc w:val="both"/>
        <w:spacing w:after="0" w:line="282" w:lineRule="auto"/>
        <w:rPr>
          <w:sz w:val="20"/>
          <w:szCs w:val="20"/>
          <w:color w:val="auto"/>
        </w:rPr>
      </w:pPr>
      <w:r>
        <w:rPr>
          <w:rFonts w:ascii="Times New Roman" w:cs="Times New Roman" w:eastAsia="Times New Roman" w:hAnsi="Times New Roman"/>
          <w:sz w:val="18"/>
          <w:szCs w:val="18"/>
          <w:color w:val="auto"/>
        </w:rPr>
        <w:t>As such, in accordance with ASC 470-60, no gain on settlement will be recorded until all payments have been made as required and the potential obligation to pay the amounts written off are eliminated.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December 31, 2024, the Company has not issued any shares or installment payments to Verista.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30, 2024, the Company issued an Advance Notice to Yorkville pursuant to the SEPA in which the Company requested the purchase of 650,000 shares of the Company's Class A Common Stock. The Advance Notice was, at the Company's election, subject to the Option 2 Pricing Period (See </w:t>
      </w:r>
      <w:r>
        <w:rPr>
          <w:rFonts w:ascii="Times New Roman" w:cs="Times New Roman" w:eastAsia="Times New Roman" w:hAnsi="Times New Roman"/>
          <w:sz w:val="18"/>
          <w:szCs w:val="18"/>
          <w:i w:val="1"/>
          <w:iCs w:val="1"/>
          <w:color w:val="auto"/>
        </w:rPr>
        <w:t>Note 18 - Equity</w:t>
      </w:r>
      <w:r>
        <w:rPr>
          <w:rFonts w:ascii="Times New Roman" w:cs="Times New Roman" w:eastAsia="Times New Roman" w:hAnsi="Times New Roman"/>
          <w:sz w:val="18"/>
          <w:szCs w:val="18"/>
          <w:color w:val="auto"/>
        </w:rPr>
        <w:t>) provisions of the SEPA, and was accordingly not settled until January 3, 2025. Upon issuance of the Advance Notice,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became obligated to sell up to the requested number of shares, and had an outstanding obligation to sell up to 650,000 shares of Class A Common Stock as of December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18.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275,000,000 shares, consisting of 250,000,000 Class A Common Stock, and 25,000,000 shares of Class B Common Stock par value $0.0001 per share.</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4 - Reverse Merger Capitalization with 7GC &amp; Co. Holdings Inc.</w:t>
      </w:r>
      <w:r>
        <w:rPr>
          <w:rFonts w:ascii="Times New Roman" w:cs="Times New Roman" w:eastAsia="Times New Roman" w:hAnsi="Times New Roman"/>
          <w:sz w:val="18"/>
          <w:szCs w:val="18"/>
          <w:color w:val="auto"/>
        </w:rPr>
        <w:t>, the Company has retroactively adjusted the shares issued and outstanding prior to December 14, 2023 to give effect to the Exchange Ratio to determine the number of shares of Company Common Stock into which they were converted.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on a pro rata basis based on the number of shares of Common Stock held by each such holder, assuming conversion of all Class B Common Stock into Class A Common Stock at a one to one conversion ratio.</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8,195,163 shares (5,884,029 Class A Common Stock and 2,311,134 Class B Common Stock) issued and outstanding at December 31, 2024 and 2,585,297 shares (274,163 Class A Common Stock and 2,311,134 Class B Common Stock) issued and outstanding at December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22, 2024 Equity Financing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2024, Banzai entered into a securities purchase agreement with accredited investors, providing for the issuance and sale of 104,556 shares of the Company’s Class A Common Stock (“Common Stock”), pre-funded warrants, exercisable into 173,223 shares of Class A Common Stock (the “Pre-Funded Warrants”), and common warrants exercisable into 277,778 shares of Class A Common Stock (the “Common Warrants”) in a registered direct offering priced at-the-market under Nasdaq rules for a purchase price of $9.00 per share (the “ May 2024 Offering”). The Common Warrants have an exercise price of $9.00 per share and the Pre-Funded Warrants have an exercise price of $0.005 per share, are exercisable immediately on the date of issuance (the “Initial Exercise Date”). The Common Warrants expire five years from the Initial Exercise Date while the Pre-Funded Warrants do not expire. The aggregate gross proceeds to the Company from the May 2024 Offering were approximately $2.5 million. The Company incurred approximately $0.6 million of transaction fees which are recognized as a stock issuance cost and reflected as a reduction within additional paid-in capital. The net proceeds to the Company from the Private Placement were approximately $1.9 million. The Company used the net proceeds from the May 2024 Offering for working capital and general corporate purposes. The closing of the sale of these securities occurred on May 28, 2024. The securities were issued pursuant to the Company’s registration statement on Form S-1/A filed with the SEC on May 16, 2024 (File No. 333-278871) and became effective on May 21, 2024. As of December 31, 2024 all Pre-Funded warrants were exercised.</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A.G.P./Alliance Global Partners (“AGP”) acted as placement agent for the May 2024 Offering, pursuant to a placement agency agreement, dated May 22, 2024, between the Company and AGP (the “Placement Agency Agreement”). Under the Placement Agency Agreement, AGP received a fee in the form of</w:t>
      </w:r>
    </w:p>
    <w:p>
      <w:pPr>
        <w:jc w:val="both"/>
        <w:ind w:firstLine="8"/>
        <w:spacing w:after="0" w:line="253" w:lineRule="auto"/>
        <w:tabs>
          <w:tab w:leader="none" w:pos="2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fee equal to 7.0% of the aggregate purchase price paid by each purchaser of securities that were sold in the May 2024 Offering (the “Cash Fee”); provided, however, that the Cash Fee was reduced by an amount equal to $25,000 to be paid to the Company’s financial advisor, and (b) warrants (the “Placement Agent Warrants”) to purchase Class A Common Stock equal to 6% of the aggregate number of shares of Class A Common Stock sold in the May 2024 Offering at an exercise price per share equal to 110% of the price per share of Class A Common Stock sold in the May 2024 Offering. The Company recognized the Placement Agent Warrants as a stock issuance cost as they are issued for services in connection with an offering.</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additionally incurred approximately $409,000 of legal fees associated with the May 2024 Offering which is recognized as a stock issuance cost and reflected as a reduction within additional paid-in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22, 2024 Common Warrants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on May 22, 2024, in conjunction with the issuance and sale of 104,556 shares of the Company's Class A Common Stock, the Company issued Common Warrants, exercisable into 277,778 shares of Class A Common Stock, which did not meet the definition of a liability pursuant to ASC 480 and met all of the requirements for equity classification under ASC 815 as such were classified in stockholder's equity. The measurement of fair value of the Common Warrants were determined utilizing a Black-Scholes model considering all relevant assumptions current at the date of issuance (i.e., share price of $9.00, exercise price of $9.00, term of five years, volatility of 87%, risk-free rate of 4.6%, and expected dividend rate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2" w:name="page153"/>
    <w:bookmarkEnd w:id="152"/>
    <w:p>
      <w:pPr>
        <w:jc w:val="both"/>
        <w:spacing w:after="0" w:line="282" w:lineRule="auto"/>
        <w:rPr>
          <w:sz w:val="20"/>
          <w:szCs w:val="20"/>
          <w:color w:val="auto"/>
        </w:rPr>
      </w:pPr>
      <w:r>
        <w:rPr>
          <w:rFonts w:ascii="Times New Roman" w:cs="Times New Roman" w:eastAsia="Times New Roman" w:hAnsi="Times New Roman"/>
          <w:sz w:val="18"/>
          <w:szCs w:val="18"/>
          <w:color w:val="auto"/>
        </w:rPr>
        <w:t>of 0%). The relative fair value of these Common Warrants, net of issuance costs, on date of issuance was estimated to be approximately $722,000 and is reflected within additional paid-in capital.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22, 2024 Pre-Funded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on May 22, 2024, in conjunction with the issuance and sale of 104,556 shares of the Company's Class A Common Stock, the Company issued Pre-Funded Warrants, exercisable into 173,223 shares of Class A Common Stock, which did not meet the definition of a liability pursuant to ASC 480 and met all of the requirements for equity classification under ASC 815 as such were classified in stockholder's equity. were classified in stockholder's equity. The measurement of fair value of the Pre-Funded Warrants were determined as the intrinsic value calculated as the Common Stock price on the issuance date minus the exercise price. The relative fair value of these Pre-Funded Warrants, net of issuance costs, on date of issuance was estimated to be approximately $660,000 and is reflected within additional paid-in capital. On May 28, 2024 the Pre-Funded warrants were exercised.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22, 2024 Placement Agent Warrants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on May 22, 2024, in conjunction with the issuance and sale of 104,556 shares of the Company's Class A Common Stock and Pre-Funded Warrants, the Company issued Placement Agent Warrants, exercisable into 16,667 shares of Class A Common Stock. As the Placement Agent Warrants were issued for services provided in facilitating the May 2024 Offering, the Company recorded the fair value of such Placement Agent Warrants of approximately $100,000 as a cost of capital on the issuance date. The measurement of fair value was determined utilizing a Black-Scholes model considering all relevant assumptions current at the date of issuance (i.e., share price of $9.00, exercise price of $9.00, term of five years, volatility of 87%, risk-free rate of 4.6%, and expected dividend rate of 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24, 2024 Equity Financing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24, 2024, Banzai entered into a securities purchase agreement with an institutional investor for the issuance and sale in a private placement (the “Private Placement”) of (i) pre-funded warrants (“Q3 2024 Pre-Funded Warrants”) to purchase up to 1,176,471 shares of Common Stock, at an exercise price of $0.001 per share, (ii) Series A warrants (the “Series A Warrants”) to purchase up to 1,176,471 shares of Common Stock, at an exercise price of $4.00 per share, and (iii) Series B warrants (the “Series B Warrants” ) to purchase up to 1,176,471 shares of Common Stock at an exercise price of $4.00 per share. The Series A Warrants are exercisable immediately upon issuance and have a term of exercise equal to five years from the date of issuance. The Series B Warrants are exercisable immediately upon issuance and have a term of exercise equal to eighteen (18) months from the date of issuance. The combined purchase price per Q3 2024 Pre-Funded Warrant and accompanying Series A Warrants and Series B Warrants was $4.249. The Private Placement closed on September 26, 2024. On September 26, 2024, the securities were issued pursuant to the Company’s registration statement on Form S-1 that was filed with the SEC on October 4, 2024 (File No. 333-282506) and became effective on November 6, 2024. The aggregate gross proceeds to the Company from the Private Placement were approximately $5.0 million. The Company incurred approximately $0.6 million of transaction fees which are recognized as a stock issuance cost and reflected as a reduction within additional paid-in capital. The net proceeds to the Company from the Private Placement were approximately $4.4 million.</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H.C. Wainwright &amp; Co., LLC (“Wainwright”) acted as the Company’s exclusive placement agent in connection with the Private Placement, pursuant to that certain engagement letter, dated as of September 12, 2024, as amended, between the Company and Wainwright (the “Engagement Letter”). Pursuant to the Engagement Letter, the Company shall not sell equity securities without prior consent from Wainwright. The Company paid Wainwright (i) a total cash fee equal to 7.5% of the aggregate gross proceeds of the Private Placement (inclusive of the gross proceeds to be received from the exercise of any Warrants), (ii) a management fee of 1.0% of the aggregate gross proceeds of the Private Placement (inclusive of the gross proceeds to be received from the exercise of any Q3 2024 Pre-Funded Warrants, Series A Warrants, or Series B Warrants), and (iii) a non-accountable expense allowance of $50,000. In addition, the Company issued to Wainwright or its designees warrants (the “Q3 2024 Placement Agent Warrants”) to purchase up to an aggregate of 88,235 shares of Common Stock at an exercise price equal to $5.3125 per share and, if any Q3 2024 Pre-Funded Warrants, Series A Warrants, or Series B Warrants are exercised for cash will be obligated to issue to Wainwright additional Q3 2024 Placement Agent Warrants equal to 7.5% of the total Q3 2024 Pre-Funded Warrants, Series A Warrants, or Series B Warrants exercised, if any. The Q3 2024 Placement Agent Warrants have substantially the same terms as the Q3 2024 Pre-Funded Warrants, Series A Warrants, and Series B Warrants, are exercisable immediately upon issuance and have a term of exercise equal to five (5) years from the date of issuance. The Company recognized the Q3 2024 Placement Agent Warrants as a stock issuance cost as they are issued for services in connection with an offering.</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10, 2024, the Company entered into the OpenReel Merger Agreement. Since the OpenReel Merger Agreement requires the Company to issues shares to the OpenReel Stockholders and file a registration statement to register those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3" w:name="page154"/>
    <w:bookmarkEnd w:id="153"/>
    <w:p>
      <w:pPr>
        <w:jc w:val="both"/>
        <w:spacing w:after="0" w:line="282" w:lineRule="auto"/>
        <w:rPr>
          <w:sz w:val="20"/>
          <w:szCs w:val="20"/>
          <w:color w:val="auto"/>
        </w:rPr>
      </w:pPr>
      <w:r>
        <w:rPr>
          <w:rFonts w:ascii="Times New Roman" w:cs="Times New Roman" w:eastAsia="Times New Roman" w:hAnsi="Times New Roman"/>
          <w:sz w:val="18"/>
          <w:szCs w:val="18"/>
          <w:color w:val="auto"/>
        </w:rPr>
        <w:t>the Investor agreed to waive the Protective Provisions mentioned above (the “Waiver”). In consideration of the Waiver, the Company agreed to reduce the exercise price of the Series A and Series B Warrants from $4.00 to $2.50 per share.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26, 2024 Series A Warrants and Series B Warrants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above, on September 26, 2024, the Company issued a total of 2,352,942 Series A and B Warrants which did not meet the definition of a liability pursuant to ASC 480 and met all of the requirements for equity classification under ASC 815 as such were classified in stockholder's equity. The measurement of fair value of the Series A and B Warrants were determined utilizing a Black-Scholes model considering all relevant assumptions current at the date of issuance (i.e., share price of $6.08, exercise price of $4.00, term of 5 years for the Series A Warrants and 1.5 years for the Series B Warrants, volatility of 90% for the Series A Warrants and 132% for the Series B Warrants, risk-free rate of 3.6% for the Series A Warrants and 3.8% for the Series B Warrants, and expected dividend rate of 0.0%). The relative fair value of these Series A and Series B Warrants, net of issuance costs, on date of issuance was estimated to be approximately $2,372,000 and is reflected within additional paid-in capital.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26, 2024 Pre-Funded Warrants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discussed above, on September 26, 2024, the Company issued 1,176,471 Q3 2024 Pre-Funded Warrants which did not meet the definition of a liability pursuant to ASC 480 and met all of the requirements for equity classification under ASC 815 as such were classified in stockholder's equity. were classified in stockholder's equity. The measurement of fair value of the Q3 2024 Pre-Funded Warrants were determined as the intrinsic value calculated as the common stock price on the issuance date minus the exercise price. The relative fair value of these Pre-Funded Warrants, net of issuance costs, on date of issuance was estimated to be approximately $1,638,000 and is reflected within additional paid-in capital. On November 7, 2024 the Pre-Funded warrants were exercised.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26, 2024 Placement Agent Warrants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on September 26, 2024, the Company issued 88,235 Q3 2024 Placement Agent Warrants. As the Q3 2024 Placement Agent Warrants were issued for services provided in facilitating the Private Placement, the Company recorded the fair value of such Q3 2024 Placement Agent Warrants of approximately $393,000 as a cost of capital on the issuance date. The measurement of fair value was determined utilizing a Black-Scholes model considering all relevant assumptions current at the date of issuance (i.e., share price of $6.08, exercise price of $5.31, term of 5 years, volatility of 90%, risk-free rate of 3.6%, and expected dividend rate of 0.0%).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Alco Promissory Note Conversion and Settlement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discussed per </w:t>
      </w:r>
      <w:r>
        <w:rPr>
          <w:rFonts w:ascii="Times New Roman" w:cs="Times New Roman" w:eastAsia="Times New Roman" w:hAnsi="Times New Roman"/>
          <w:sz w:val="18"/>
          <w:szCs w:val="18"/>
          <w:i w:val="1"/>
          <w:iCs w:val="1"/>
          <w:color w:val="auto"/>
        </w:rPr>
        <w:t>Note 11 - Debt, o</w:t>
      </w:r>
      <w:r>
        <w:rPr>
          <w:rFonts w:ascii="Times New Roman" w:cs="Times New Roman" w:eastAsia="Times New Roman" w:hAnsi="Times New Roman"/>
          <w:sz w:val="18"/>
          <w:szCs w:val="18"/>
          <w:color w:val="auto"/>
        </w:rPr>
        <w:t>n September 19, 2024, the Company issued 282,420 shares of Class A Common Stock, Warrants to purchase up to 1,331,340 shares of Class A Common Stock and Pre-Funded Warrants to purchase up to 1,048,920 shares of Class A Common Stock (collectively, the “Alco Securities”) to Alco, in full settlement of all amounts outstanding to Alco. The grant date fair value of the Class A Common Stock, Warrants to purchase up shares of Class A Common Stock and Pre-Funded Warrants to purchase shares of Class A Common Stock, were determined to be $1,098,614, $3,687,812, and $4,080,194, respectively. The measurement of fair value of the Class A Common Stock Warrants was determined utilizing a Black-Scholes model considering all relevant assumptions current at the date of issuance (i.e., share price of $3.89 - Determined as the negotiated share price calculated using a 5 day average price preceding September 20, 2024, exercise price of $4.02, term of 5 years, volatility of 87%, risk-free rate of 3.5%, and expected dividend rate of 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CP BF Conversion and Settlement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per Note 11 - Debt, on September 23, 2024, the Company issued 260,849 shares of Class A Common Stock, Warrants to purchase up to 565,553 shares of Class A Common Stock and Pre-Funded Warrants to purchase up to 304,704 shares of Class A Common Stock to CP BF, in settlement of $2,000,000 of the outstanding debt. The grant date fair value of the Class A Common Stock, CP BF Warrant and CP BF Pre-Funded Warrant to purchase shares of Class A Common Stock, were determined to be $1,014,703, $1,185,268, and $1,577,893, respectively. The measurement of fair value of the Class A Common Stock Warrants was determined utilizing a Black-Scholes model considering all relevant assumptions current at the date of issuance (i.e., share price of $3.89, exercise price of $3.89, term of 5 years, volatility of 87%, risk-free rate of 3.5%, and expected dividend rate of 0.0%). The measurement of fair value of the CP BF Pre-Funded Warrants were determined as the intrinsic value calculated as the common stock VWAP used in negotiations on the issuance date minus the exercise price. On October 15, 2024 the Pre-Funded warrants were exercised.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 Acquisition Pre-Funded Warrants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4" w:name="page155"/>
    <w:bookmarkEnd w:id="154"/>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above in </w:t>
      </w:r>
      <w:r>
        <w:rPr>
          <w:rFonts w:ascii="Times New Roman" w:cs="Times New Roman" w:eastAsia="Times New Roman" w:hAnsi="Times New Roman"/>
          <w:sz w:val="18"/>
          <w:szCs w:val="18"/>
          <w:i w:val="1"/>
          <w:iCs w:val="1"/>
          <w:color w:val="auto"/>
        </w:rPr>
        <w:t>Note 5 - Acquisition of OpenReel</w:t>
      </w:r>
      <w:r>
        <w:rPr>
          <w:rFonts w:ascii="Times New Roman" w:cs="Times New Roman" w:eastAsia="Times New Roman" w:hAnsi="Times New Roman"/>
          <w:sz w:val="18"/>
          <w:szCs w:val="18"/>
          <w:color w:val="auto"/>
        </w:rPr>
        <w:t>, on December 18, 2024, the Company issued 11,769,501 Pre-Funded Warrants and 1 share of Series FE Preferred Stock, which did not meet the definition of a liability pursuant to ASC 480 and met all of the requirements for equity classification under ASC 815. As such these were classified in stockholder's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75,000,000 shares of preferred stock with a par value of $0.0001 per share. The board of directors of the Company (the “Board”) has the authority to issue preferred stock and to determine the rights, privileges, preferences, restrictions, and voting rights of those shares. As of December 31, 2024 and 2023, one and no shares of preferred stock were outstanding,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FE Preferred Stock</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and as a condition to closing under the Merger Agreement (see </w:t>
      </w:r>
      <w:r>
        <w:rPr>
          <w:rFonts w:ascii="Times New Roman" w:cs="Times New Roman" w:eastAsia="Times New Roman" w:hAnsi="Times New Roman"/>
          <w:sz w:val="18"/>
          <w:szCs w:val="18"/>
          <w:i w:val="1"/>
          <w:iCs w:val="1"/>
          <w:color w:val="auto"/>
        </w:rPr>
        <w:t>Note 5 - Acquisition of OpenReel</w:t>
      </w:r>
      <w:r>
        <w:rPr>
          <w:rFonts w:ascii="Times New Roman" w:cs="Times New Roman" w:eastAsia="Times New Roman" w:hAnsi="Times New Roman"/>
          <w:sz w:val="18"/>
          <w:szCs w:val="18"/>
          <w:color w:val="auto"/>
        </w:rPr>
        <w:t>), on the Closing Date, the Company issued one (1) share of series FE preferred stock, par value $0.0001 per share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48" w:lineRule="exact"/>
        <w:rPr>
          <w:sz w:val="20"/>
          <w:szCs w:val="20"/>
          <w:color w:val="auto"/>
        </w:rPr>
      </w:pPr>
    </w:p>
    <w:p>
      <w:pPr>
        <w:ind w:left="960" w:hanging="512"/>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53" w:lineRule="exact"/>
        <w:rPr>
          <w:rFonts w:ascii="Times New Roman" w:cs="Times New Roman" w:eastAsia="Times New Roman" w:hAnsi="Times New Roman"/>
          <w:sz w:val="18"/>
          <w:szCs w:val="18"/>
          <w:color w:val="auto"/>
        </w:rPr>
      </w:pPr>
    </w:p>
    <w:p>
      <w:pPr>
        <w:ind w:left="960" w:right="20" w:hanging="512"/>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SEPA Option was determined to be a freestanding financial instrument which did not meet the criteria to be accounted for as a derivative instrument or to be recognized within equity.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will therefore recognize the SEPA Option as an asset or liability, measured at fair value at the date of issuance, December 14, 2023, and in subsequent reporting periods, with changes in fair value recognized in earnings. The SEPA Option was determined to have a fair value of $0 on the date of issuance as well as at December 31, 2024 and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55" w:name="page156"/>
    <w:bookmarkEnd w:id="155"/>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14,201 Class A common stock as payment for the Deferred Fee.</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There were two Advance Notices issued pursuant to the SEPA during the period ended December 31, 2024 or as of the date that these financial statements were issued, apart from the Premium Advance which was issued pursuant to the terms of the Amended Debt Agreement (see </w:t>
      </w:r>
      <w:r>
        <w:rPr>
          <w:rFonts w:ascii="Times New Roman" w:cs="Times New Roman" w:eastAsia="Times New Roman" w:hAnsi="Times New Roman"/>
          <w:sz w:val="18"/>
          <w:szCs w:val="18"/>
          <w:i w:val="1"/>
          <w:iCs w:val="1"/>
          <w:color w:val="auto"/>
        </w:rPr>
        <w:t>Note 14 - Debt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18, 2024, the Company issued an Advance Notice to Yorkville pursuant to the SEPA in which the Company requested the purchase of 630,000 shares of the Company's Class A Common Stock. The Advance Notice was, at the Company's election, subject to the Option 2 Pricing Period provisions of the SEPA, and was settled on December 23, 2024. Upon the settlement on December 23, 2024, Yorkville purchased 550,000 shares of the Company's Class A Common Stock at $1.61 per share for a total purchase price of approximately $881,000. The closing price of the Company's stock on the December 23, 2024 settlement date was $1.68 per share.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30, 2024, the Company issued an Advance Notice to Yorkville pursuant to the SEPA in which the Company requested the purchase of 650,000 shares of the Company's Class A Common Stock. The Advance Notice was, at the Company's election, subject to the Option 2 Pricing Period provisions of the SEPA, and was accordingly not settled until January 3, 2025. Upon issuance of the Advance Notice, the Company became obligated to sell up to the requested number of shares, and thus had an outstanding obligation to sell up to 650,000 shares of Class A Common Stock as of December 31, 2024. Refer to </w:t>
      </w:r>
      <w:r>
        <w:rPr>
          <w:rFonts w:ascii="Times New Roman" w:cs="Times New Roman" w:eastAsia="Times New Roman" w:hAnsi="Times New Roman"/>
          <w:sz w:val="18"/>
          <w:szCs w:val="18"/>
          <w:i w:val="1"/>
          <w:iCs w:val="1"/>
          <w:color w:val="auto"/>
        </w:rPr>
        <w:t>Note 22</w:t>
      </w:r>
      <w:r>
        <w:rPr>
          <w:rFonts w:ascii="Times New Roman" w:cs="Times New Roman" w:eastAsia="Times New Roman" w:hAnsi="Times New Roman"/>
          <w:sz w:val="18"/>
          <w:szCs w:val="18"/>
          <w:color w:val="auto"/>
        </w:rPr>
        <w:t xml:space="preserve">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Stock-Based Compensation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adopted the 2023 Employee Stock Purchase Plan (the "Purchase Plan"). The Purchase Plan permits eligible employees of the Company and certain designated companies as determined by the Board of Directors, to purchase shares of the Company's Common Stock. The aggregate number of shares of common stock that may be purchased pursuant to the Purchase Plan is equal to 2% of the fully diluted common stock determined at the Close of the Merger Agreement, determined to be 11,444. In addition, the aggregate number of shares of common stock that remain available to be awarded under the Purchase Plan, will automatically increase on January 1 of each year for a period of 10 years commencing on January 1, 2024 and ending on January 1, 2033, in an amount equal to the lesser of one percent (1%) of the total number of shares of the fully diluted common stock determined as of December 31 of the preceding year, or a number of shares of common stock equal to two hundred percent (200%) of the initial share reserve of 11,444. As of December 31, 2024 and 2023, 11,558 and 11,444 shares of common stock remain available to be purchased under the Purchase Plan, respectively.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the Company adopted the 2023 Equity Incentive Plan (the “Plan”). The Plan permits the granting of incentive stock options, nonstatutory stock options, SARs, restricted stock awards, RSU awards, performance awards, and other awards. to employees, directors, and consultants. The aggregate number of shares of common stock that may be issued will not exceed approximately 12.5% of the fully diluted common stock determined at the Close of the Merger, determined to be 71,522. In addition, the aggregate number of shares of common stock that remain available to be awarded under the Plan, will automatically increase on January 1 of each year for a period of ten years commencing on January 1, 2024 and ending on January 1, 2033, in an amount equal to 5% of the total number of shares of the fully diluted common stock determined as of the day prior to such increase. The aggregate maximum number of shares of common stock that may be issued pursuant to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6" w:name="page157"/>
    <w:bookmarkEnd w:id="156"/>
    <w:p>
      <w:pPr>
        <w:jc w:val="both"/>
        <w:spacing w:after="0" w:line="282" w:lineRule="auto"/>
        <w:rPr>
          <w:sz w:val="20"/>
          <w:szCs w:val="20"/>
          <w:color w:val="auto"/>
        </w:rPr>
      </w:pPr>
      <w:r>
        <w:rPr>
          <w:rFonts w:ascii="Times New Roman" w:cs="Times New Roman" w:eastAsia="Times New Roman" w:hAnsi="Times New Roman"/>
          <w:sz w:val="18"/>
          <w:szCs w:val="18"/>
          <w:color w:val="auto"/>
        </w:rPr>
        <w:t>exercise of incentive stock options is approximately three times the total number of shares of common stock initially reserved for issuance, which were 71,522. As of December 31, 2024 and 2023, 2,332 and 71,522 stock options remain available to be awarded under the Plan, respectively.</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pursuant to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assumptions used to compute the fair value of options granted: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$15.00 - 293.00</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$419.00 - 599.00</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$5.85 - 250.00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$419.00 - 599.00</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61.00 - 69.57%</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80.00 - 110.95%</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5.61 - 6.08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5.00 - 6.08</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3.71 - 4.45%</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3.46 - 4.31%</w:t>
            </w:r>
          </w:p>
        </w:tc>
      </w:tr>
      <w:tr>
        <w:trPr>
          <w:trHeight w:val="43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is as follows: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0"/>
        </w:trPr>
        <w:tc>
          <w:tcPr>
            <w:tcW w:w="5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5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38"/>
        </w:trPr>
        <w:tc>
          <w:tcPr>
            <w:tcW w:w="5820" w:type="dxa"/>
            <w:vAlign w:val="bottom"/>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500" w:type="dxa"/>
            <w:vAlign w:val="bottom"/>
            <w:gridSpan w:val="6"/>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108,253</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4,480</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(8,229 )</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578.56</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50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109,821</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28,448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(15,796 )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234.57</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25,661</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gridSpan w:val="4"/>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150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-1010920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-1010920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-1010920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issuances under the Plan, the Company recorded stock-based compensation expense of $131,041 and $1,245,796, which is included in general and administrative expense for the years ended December 31, 2024 and 2023, respectively. The weighted-average grant-date fair value per option granted during the years ended December 31, 2024 and 2023 was $7.15 and $243.00, respectively. As of December 31, 2024 and 2023, $212,936 and $2,594,571 of unrecognized compensation expense related to non-vested awards is expected to be recognized over the weighted average period of 9.25 and 2.73 years, respectively. The aggregate intrinsic value is calculated as the difference between the fair value of the Company’s stock price and the exercise price of the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7" w:name="page158"/>
    <w:bookmarkEnd w:id="157"/>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four years. 25% of the RSUs will vest on each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with respect to, and status of, RSUs during the year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7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7700" w:type="dxa"/>
            <w:vAlign w:val="bottom"/>
          </w:tcPr>
          <w:p>
            <w:pPr>
              <w:spacing w:after="0"/>
              <w:rPr>
                <w:sz w:val="20"/>
                <w:szCs w:val="20"/>
                <w:color w:val="auto"/>
              </w:rPr>
            </w:pPr>
          </w:p>
        </w:tc>
        <w:tc>
          <w:tcPr>
            <w:tcW w:w="17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(81,788 )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(2,468 )</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21.84</w:t>
            </w: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340,783</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028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028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recorded stock-based compensation expense of $1,034,639 which is included in general and administrative expense for the year ended December 31, 2024. As of December 31, 2024, unrecognized compensation cost related to the grant of RSUs was $37,150. Unvested outstanding RSUs as of December 31, 2024 had a weighted average remaining vesting period of 3.37 years.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Income Taxes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Components of net loss before income taxes: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(31,513,389 )</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(14,406,262 )</w:t>
            </w:r>
          </w:p>
        </w:tc>
        <w:tc>
          <w:tcPr>
            <w:tcW w:w="0" w:type="dxa"/>
            <w:vAlign w:val="bottom"/>
          </w:tcPr>
          <w:p>
            <w:pPr>
              <w:spacing w:after="0"/>
              <w:rPr>
                <w:sz w:val="1"/>
                <w:szCs w:val="1"/>
                <w:color w:val="auto"/>
              </w:rPr>
            </w:pPr>
          </w:p>
        </w:tc>
      </w:tr>
      <w:tr>
        <w:trPr>
          <w:trHeight w:val="234"/>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U.S. federal income tax rate to the Company’s effective tax rate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20" w:type="dxa"/>
            <w:vAlign w:val="bottom"/>
            <w:tcBorders>
              <w:bottom w:val="single" w:sz="8" w:color="auto"/>
            </w:tcBorders>
          </w:tcPr>
          <w:p>
            <w:pPr>
              <w:spacing w:after="0"/>
              <w:rPr>
                <w:sz w:val="20"/>
                <w:szCs w:val="20"/>
                <w:color w:val="auto"/>
              </w:rPr>
            </w:pPr>
          </w:p>
        </w:tc>
      </w:tr>
      <w:tr>
        <w:trPr>
          <w:trHeight w:val="210"/>
        </w:trPr>
        <w:tc>
          <w:tcPr>
            <w:tcW w:w="6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8"/>
                <w:szCs w:val="18"/>
                <w:color w:val="auto"/>
              </w:rPr>
            </w:pPr>
          </w:p>
        </w:tc>
      </w:tr>
      <w:tr>
        <w:trPr>
          <w:trHeight w:val="20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benefit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(6,617,812 )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(3,025,315 )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8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(463,682 )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(219,705 )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2,968,883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2,079,231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tax rate</w:t>
            </w:r>
          </w:p>
        </w:tc>
        <w:tc>
          <w:tcPr>
            <w:tcW w:w="28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16,101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462,709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estimates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(107,489 )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(2,050,026 )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interest - IRC 163(l)</w:t>
            </w:r>
          </w:p>
        </w:tc>
        <w:tc>
          <w:tcPr>
            <w:tcW w:w="28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516,624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738,993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transaction/restructuring costs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1,313,792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conversion &amp; extinguishment</w:t>
            </w:r>
          </w:p>
        </w:tc>
        <w:tc>
          <w:tcPr>
            <w:tcW w:w="28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2,935,747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warrant issuance expense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552,321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8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612,511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139,117</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148,000</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-153670</wp:posOffset>
            </wp:positionV>
            <wp:extent cx="857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provision (benefit)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r>
      <w:tr>
        <w:trPr>
          <w:trHeight w:val="209"/>
        </w:trPr>
        <w:tc>
          <w:tcPr>
            <w:tcW w:w="77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1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12,347,734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6,368,669</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Contribution carryforwards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23,718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24,626</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91,889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157,165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155,404</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Starup costs &amp; other intangibles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1,700,257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1,816,143</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intangibles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(870,569 )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16,339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52,805</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(30,236 )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651,519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R&amp;D costs (Sec. 174)</w:t>
            </w: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1,930,337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798,802</w:t>
            </w:r>
          </w:p>
        </w:tc>
      </w:tr>
      <w:tr>
        <w:trPr>
          <w:trHeight w:val="216"/>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8,182</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(3,363 )</w:t>
            </w:r>
          </w:p>
        </w:tc>
      </w:tr>
      <w:tr>
        <w:trPr>
          <w:trHeight w:val="210"/>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16,040,263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9,184,149</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(16,040,263 )</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(9,184,149 )</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-453390</wp:posOffset>
            </wp:positionV>
            <wp:extent cx="1028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$50,966,400 and $28,244,800, respectively. As of December 31, 2023, the Company had federal and state net operating loss carryforwards of approximately $24,014,200 and $12,350,800, respectively. Federal losses of $1,128,500 begin to expire in 2036 and $49,737,900 of the federal losses carryforward indefinitely. State losses of $22,175,100 begin to expire in 2031 and $6,069,700 of the state losses carryforward indefinitely. Utilization of the net operating loss carryforwards may be subject to an annual limitation according to Section 382 of the Internal Revenue Code of 1986 as amended, and similar provisions.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determined, based upon available evidence, that it is more likely than not that all of the net deferred tax assets will not be realized and, accordingly, has provided a full valuation allowance against its net deferred tax asset. Management considers the scheduled reversal of deferred tax liabilities, projected future taxable income, net operating loss carryback potential, and tax planning strategies in making these assessments.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had no material uncertain tax benefits for the year ended December 31, 2024, and 2023. The Company recognizes interest accrued related to unrecognized tax benefits and penalties in interest expense and penalties in operating expense. No amounts were accrued for the payment of interest and penalties at December 31, 2024, and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they operate. In the normal course of business, the Company is subject to examination by federal and state jurisdictions where applicable based on the statute of limitations that apply in each jurisdiction. As of December 31, 2024, the 2017 and subsequent tax years related to all jurisdictions remain open.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December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21.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two reportable operating segments, Banzai Operating Co., Inc and Banzai Reel Acquisition Inc. (OpenReel). The Company's segments deliver SaaS tools that leverage data, analytics, and AI to provide marketing and sales solutions for business of all sizes.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year ending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4,305,429</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222,450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4,527,879</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1,407,564</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14,978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1,422,542</w:t>
            </w:r>
          </w:p>
        </w:tc>
        <w:tc>
          <w:tcPr>
            <w:tcW w:w="0" w:type="dxa"/>
            <w:vAlign w:val="bottom"/>
          </w:tcPr>
          <w:p>
            <w:pPr>
              <w:spacing w:after="0"/>
              <w:rPr>
                <w:sz w:val="1"/>
                <w:szCs w:val="1"/>
                <w:color w:val="auto"/>
              </w:rPr>
            </w:pPr>
          </w:p>
        </w:tc>
      </w:tr>
      <w:tr>
        <w:trPr>
          <w:trHeight w:val="21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2,897,865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207,472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3,105,337</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People</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6,209,488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17,642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6,227,130</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1,587,085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1,592,105</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861,775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112,429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974,204</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9"/>
                <w:szCs w:val="9"/>
                <w:color w:val="auto"/>
              </w:rPr>
              <w:t>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811,519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6,856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818,375</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9,469,867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141,947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9,611,814</w:t>
            </w:r>
          </w:p>
        </w:tc>
        <w:tc>
          <w:tcPr>
            <w:tcW w:w="0" w:type="dxa"/>
            <w:vAlign w:val="bottom"/>
          </w:tcPr>
          <w:p>
            <w:pPr>
              <w:spacing w:after="0"/>
              <w:rPr>
                <w:sz w:val="1"/>
                <w:szCs w:val="1"/>
                <w:color w:val="auto"/>
              </w:rPr>
            </w:pPr>
          </w:p>
        </w:tc>
      </w:tr>
      <w:tr>
        <w:trPr>
          <w:trHeight w:val="209"/>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(6,572,002 )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(6,506,477 )</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6,912,309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6,912,309</w:t>
            </w:r>
          </w:p>
        </w:tc>
        <w:tc>
          <w:tcPr>
            <w:tcW w:w="0" w:type="dxa"/>
            <w:vAlign w:val="bottom"/>
          </w:tcPr>
          <w:p>
            <w:pPr>
              <w:spacing w:after="0"/>
              <w:rPr>
                <w:sz w:val="1"/>
                <w:szCs w:val="1"/>
                <w:color w:val="auto"/>
              </w:rPr>
            </w:pPr>
          </w:p>
        </w:tc>
      </w:tr>
      <w:tr>
        <w:trPr>
          <w:trHeight w:val="21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(13,484,311 )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(13,418,786 )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-1568450</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-1568450</wp:posOffset>
            </wp:positionV>
            <wp:extent cx="1631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-453390</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1631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1631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8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PubCo. expenses, insurance expenses, and expenses related to licenses.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year ending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5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OpenReel</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4,561,300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4,561,300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1,444,618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1,444,618</w:t>
            </w:r>
          </w:p>
        </w:tc>
        <w:tc>
          <w:tcPr>
            <w:tcW w:w="0" w:type="dxa"/>
            <w:vAlign w:val="bottom"/>
          </w:tcPr>
          <w:p>
            <w:pPr>
              <w:spacing w:after="0"/>
              <w:rPr>
                <w:sz w:val="1"/>
                <w:szCs w:val="1"/>
                <w:color w:val="auto"/>
              </w:rPr>
            </w:pPr>
          </w:p>
        </w:tc>
      </w:tr>
      <w:tr>
        <w:trPr>
          <w:trHeight w:val="210"/>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3,116,682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3,116,682</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People</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5,809,973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5,809,973</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941,737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941,737</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628,998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628,998</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9"/>
                <w:szCs w:val="9"/>
                <w:color w:val="auto"/>
              </w:rPr>
              <w:t>2</w:t>
            </w:r>
          </w:p>
        </w:tc>
        <w:tc>
          <w:tcPr>
            <w:tcW w:w="1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7,679,506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7,679,506</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expenses</w:t>
            </w:r>
          </w:p>
        </w:tc>
        <w:tc>
          <w:tcPr>
            <w:tcW w:w="1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15,060,214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15,060,214</w:t>
            </w:r>
          </w:p>
        </w:tc>
        <w:tc>
          <w:tcPr>
            <w:tcW w:w="0" w:type="dxa"/>
            <w:vAlign w:val="bottom"/>
          </w:tcPr>
          <w:p>
            <w:pPr>
              <w:spacing w:after="0"/>
              <w:rPr>
                <w:sz w:val="1"/>
                <w:szCs w:val="1"/>
                <w:color w:val="auto"/>
              </w:rPr>
            </w:pPr>
          </w:p>
        </w:tc>
      </w:tr>
      <w:tr>
        <w:trPr>
          <w:trHeight w:val="209"/>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(11,943,532 )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(11,943,532 )</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1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6,118,859</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6,118,859</w:t>
            </w:r>
          </w:p>
        </w:tc>
        <w:tc>
          <w:tcPr>
            <w:tcW w:w="0" w:type="dxa"/>
            <w:vAlign w:val="bottom"/>
          </w:tcPr>
          <w:p>
            <w:pPr>
              <w:spacing w:after="0"/>
              <w:rPr>
                <w:sz w:val="1"/>
                <w:szCs w:val="1"/>
                <w:color w:val="auto"/>
              </w:rPr>
            </w:pPr>
          </w:p>
        </w:tc>
      </w:tr>
      <w:tr>
        <w:trPr>
          <w:trHeight w:val="209"/>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15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(18,062,391 )</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(18,062,391 )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20" w:type="dxa"/>
            <w:vAlign w:val="bottom"/>
          </w:tcPr>
          <w:p>
            <w:pPr>
              <w:spacing w:after="0"/>
              <w:rPr>
                <w:sz w:val="24"/>
                <w:szCs w:val="24"/>
                <w:color w:val="auto"/>
              </w:rPr>
            </w:pPr>
          </w:p>
        </w:tc>
        <w:tc>
          <w:tcPr>
            <w:tcW w:w="17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F-61</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-2476500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-2476500</wp:posOffset>
            </wp:positionV>
            <wp:extent cx="1625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-1362075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-1362075</wp:posOffset>
            </wp:positionV>
            <wp:extent cx="1625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-1079500</wp:posOffset>
            </wp:positionV>
            <wp:extent cx="768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-1079500</wp:posOffset>
            </wp:positionV>
            <wp:extent cx="1625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4">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The OpenReel acquisition occurred on December 18, 2024 (refer to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and therefore is presented at $0 for comparative purposes.</w:t>
      </w:r>
    </w:p>
    <w:p>
      <w:pPr>
        <w:spacing w:after="0" w:line="221" w:lineRule="auto"/>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PubCo. expenses, SEPA commitment fee and deferred fee expense, GEM warrant expense, and GEM commitment fee expense.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between reportable segment adjusted EBITDA to consolidated net loss before income taxes for the years ended December 31, 2024, and 2023,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 by segment</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Banzai Operating Co.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(13,484,311 )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(18,062,391 )</w:t>
            </w:r>
          </w:p>
        </w:tc>
      </w:tr>
      <w:tr>
        <w:trPr>
          <w:trHeight w:val="216"/>
        </w:trPr>
        <w:tc>
          <w:tcPr>
            <w:tcW w:w="7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OpenReel</w:t>
            </w:r>
          </w:p>
        </w:tc>
        <w:tc>
          <w:tcPr>
            <w:tcW w:w="1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65,525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(13,418,786 )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(18,062,391 )</w:t>
            </w:r>
          </w:p>
        </w:tc>
      </w:tr>
      <w:tr>
        <w:trPr>
          <w:trHeight w:val="216"/>
        </w:trPr>
        <w:tc>
          <w:tcPr>
            <w:tcW w:w="7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(478,288 )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(9,154,141 )</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1,068,447</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2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3,047,101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4,486,027</w:t>
            </w: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liabilities, net</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390,801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conversion of liabilities</w:t>
            </w:r>
          </w:p>
        </w:tc>
        <w:tc>
          <w:tcPr>
            <w:tcW w:w="12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11,338,284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issuance</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653,208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2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80,760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2,725,460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24,179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7,160</w:t>
            </w: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113,108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(62,809 )</w:t>
            </w:r>
          </w:p>
        </w:tc>
      </w:tr>
      <w:tr>
        <w:trPr>
          <w:trHeight w:val="250"/>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(31,513,389 )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(14,406,262 )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-2236470</wp:posOffset>
            </wp:positionV>
            <wp:extent cx="946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946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946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generated by SaaS product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c>
          <w:tcPr>
            <w:tcW w:w="12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rPr>
              <w:t>Year Ended</w:t>
            </w: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c>
          <w:tcPr>
            <w:tcW w:w="120" w:type="dxa"/>
            <w:vAlign w:val="bottom"/>
          </w:tcPr>
          <w:p>
            <w:pPr>
              <w:spacing w:after="0"/>
              <w:rPr>
                <w:sz w:val="18"/>
                <w:szCs w:val="18"/>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December 31,</w:t>
            </w:r>
          </w:p>
        </w:tc>
      </w:tr>
      <w:tr>
        <w:trPr>
          <w:trHeight w:val="211"/>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1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9"/>
              </w:rPr>
              <w:t>2024</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2023</w:t>
            </w: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7"/>
        </w:trPr>
        <w:tc>
          <w:tcPr>
            <w:tcW w:w="73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Reach</w:t>
            </w:r>
          </w:p>
        </w:tc>
        <w:tc>
          <w:tcPr>
            <w:tcW w:w="1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3.8 %</w:t>
            </w:r>
          </w:p>
        </w:tc>
        <w:tc>
          <w:tcPr>
            <w:tcW w:w="20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4.5 %</w:t>
            </w:r>
          </w:p>
        </w:tc>
      </w:tr>
      <w:tr>
        <w:trPr>
          <w:trHeight w:val="216"/>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Demio</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94.9 %</w:t>
            </w:r>
          </w:p>
        </w:tc>
      </w:tr>
      <w:tr>
        <w:trPr>
          <w:trHeight w:val="216"/>
        </w:trPr>
        <w:tc>
          <w:tcPr>
            <w:tcW w:w="7320" w:type="dxa"/>
            <w:vAlign w:val="bottom"/>
            <w:tcBorders>
              <w:bottom w:val="single" w:sz="8" w:color="CFF0FC"/>
            </w:tcBorders>
            <w:gridSpan w:val="3"/>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09"/>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firstLine="8"/>
        <w:spacing w:after="0" w:line="209" w:lineRule="auto"/>
        <w:tabs>
          <w:tab w:leader="none" w:pos="113" w:val="left"/>
        </w:tabs>
        <w:numPr>
          <w:ilvl w:val="0"/>
          <w:numId w:val="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Other includes Boost sales for the years ended December 31, 2024, and 2023 and OpenReel product sales from acquisition date (refer to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to December 31,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by geographic area, refer to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Hudson Global Ventures, LLC Consulting Services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61" w:name="page162"/>
    <w:bookmarkEnd w:id="161"/>
    <w:p>
      <w:pPr>
        <w:jc w:val="both"/>
        <w:spacing w:after="0" w:line="282" w:lineRule="auto"/>
        <w:rPr>
          <w:sz w:val="20"/>
          <w:szCs w:val="20"/>
          <w:color w:val="auto"/>
        </w:rPr>
      </w:pPr>
      <w:r>
        <w:rPr>
          <w:rFonts w:ascii="Times New Roman" w:cs="Times New Roman" w:eastAsia="Times New Roman" w:hAnsi="Times New Roman"/>
          <w:sz w:val="18"/>
          <w:szCs w:val="18"/>
          <w:color w:val="212529"/>
        </w:rPr>
        <w:t>On January 3, 2025, the Company issued 150,000 restricted shares of its Common Stock, partially in exchange for the business advisory services outlined in the Consulting Agreement with Hudson Global Ventures, LLC, a Nevada limited liability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CP BF Pre-Funded Warrant Exercise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2025, the Company issued 4 shares of Class A Common Stock for exercise of four (4) pre-funded warrants under the CP BF Pre-Funded Warrant, to CP BF. Refer to Note 11.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January 3, 2025, the Company settled its outstanding obligation to sell shares of Class A Common Stock related to the fourth Advance Notice issued to Yorkville on December 30, 2024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pursuant to the SEPA. After adjustments to the number of shares originally requested pursuant to the terms of the SEPA, the Company settled the Advance Notice by selling a total of 30,489 shares of Class A Common Stock to Yorkville for a total purchase price of approximately $48,000.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10, 2025 and April 9, 2025, the Company settled the fifth through twenty-second Advance Notices received subsequent to December 31, 2024, by selling an aggregate of 5,516,308 shares of Class A Common Stock to Yorkville for an aggregate total purchase price of approximately $7,097,921.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Issuance to Executives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21, 2025, the Company issued 337,773 RSUs to executives as part of the Company's fiscal 2024 bonus plan, following Board approvals.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 issuance to YA II PN, LTD.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30, 2025, the Company entered into a convertible promissory note (the "Note") with Yorkville, in principal amount of $3,500,000 as an advance under the outstanding SEPA entered into on December 14, 2023. The maturity date of the note is July 31, 2025, and may be extended at the option of the Company. The note was issued with a ten percent (10%) original issue discount and bears interest at an annual rate of (i) zero percent (0%) for the first ninety (90) days following issuance, (ii) six percent (6%) thereafter, and (iii) upon the occurrence of an event of default, the interest rate shall increase to an annual rate of eighteen percent (18%) so long as the event or events of default remain uncured. Interest will be calculated on a 365-day year and the actual number of days elapsed.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repay the note in installments, beginning on February 28, 2025, and continuing on March 31, 2025, and on April 30, 2025 (each, an "Installment Date") in an amount equal to the sum of (i) $1,500,000 of principal in respect to the first two Installment Dates, and $500,000 in respect of the third Installment Date (or the outstanding principal if less than such amount), plus (ii) a payment premium (in an amount equal to 4% of the principal amount being paid), and (iii) accrued and unpaid interest as of each installment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 is convertible into shares of the Company's Class A Common Stock, par value $0.0001 per share (the "Class A Common Stock") at a conversion price of $2.00 per share (the "Conversion Price"). The lender may elect to convert part or all of the outstanding balance of the Note at any time or from time to time after the issuance date. The Company may redeem the outstanding amount at any time, in whole or in part, subject to a 4% premium, provided that (i) the Company provides the lender with at least ten (10) trading days' prior written notice (each, a "Redemption Notice") of its desire to redeem the outstanding amount (an "Optional Redemption"), and (ii) on the date the Redemption Notice is issued, the VWAP of the Class A Common Stock is less than the Conversion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Vidello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an Merger Agreement (the "Vidello Merger Agreement"), dated December 19, 2024, by and among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898,204 shares of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2" w:name="page163"/>
    <w:bookmarkEnd w:id="162"/>
    <w:p>
      <w:pPr>
        <w:jc w:val="both"/>
        <w:spacing w:after="0" w:line="282" w:lineRule="auto"/>
        <w:rPr>
          <w:sz w:val="20"/>
          <w:szCs w:val="20"/>
          <w:color w:val="auto"/>
        </w:rPr>
      </w:pPr>
      <w:r>
        <w:rPr>
          <w:rFonts w:ascii="Times New Roman" w:cs="Times New Roman" w:eastAsia="Times New Roman" w:hAnsi="Times New Roman"/>
          <w:sz w:val="18"/>
          <w:szCs w:val="18"/>
          <w:color w:val="auto"/>
        </w:rPr>
        <w:t>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of closing pursuant to the Vidello Merger Agreement, the Company executed and delivered to each Vidello Shareholder a lock-up agreement (the "Vidello Lock-Up Agreement"), pursuant to which, the shares of Class A Common Stock and any other securities convertible or exercisable into the shares of Class A Common Stock beneficially owned by them, during the 180-day period following the closing of the Vidello Merger, not to complete any Prohibited Transfer (as defined in the Vidello Merger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begun the process to determine the accounting for the acquisition, including identification of the accounting acquirer and whether the acquisition will be accounted for as a business combination. The Company has begun the process to determine the purchase price allocation for the assets and liabilities including estimating the fair values of intangible and tangible assets. These estimates have not been completed due to the timing and complexity of obtaining information and calculating such amounts.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Act-On Software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22, 2025, the Company entered into an Agreement and Plan of Merger (the “AO Merger Agreement”) with Act-On Software Inc., a Delaware corporation (“Act-On”), and Banzai Passage Inc., a Delaware corporation and wholly owned subsidiary of Banzai (“Passage”) that was formed solely for purposes of consummating the transactions contemplated in the AO Merger Agreement (the “AO Merger”). Pursuant to the AO Merger Agreement, subject to the satisfaction or waiver of the conditions set forth therein, upon closing of the AO Merger (the “Closing”), Act-On will merge with and into Passage, with Act-On surviving the AO Merger (the “AO Surviving Entity”), thereafter being a direct, wholly owned subsidiary of Banzai. The AO Merger is intended to qualify for federal income tax purposes as a tax-free reorganization under the provisions of Section 368(a) of the Internal Revenue Code of 1986, as amended. Although the Company cannot guarantee that the Act On Merger will close, the Company expects to close the transaction in Q2 2025. The Company's primary reason for acquiring Act-On was to enhance revenue growth and strengthen the Company's competitive market position through cross selling opportunities.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AO Merger Agreement, at the effective time of the Merger (the “AO Effective Time”), the aggregate merger consideration to be issued to Act-On Stockholders and certain Management Employees (as defined in the AO Merger Agreement) shall be a total of approximately $35,050,000, payable in cash and in shares of our Class A Common Stock, subject to adjustment as set forth in the AO Merger Agreement (the “AO Merger Consideration”). The adjustments to the AO Merger Consideration in the AO Merger Agreement include a customary working capital adjustment based on the amount by which certain working capital items at closing are greater or less than the target working capital as defined in the AO Merger Agreement. In addition to the AO Merger Consideration, at the AO Effective Time, we will fully pay off a certain loan owed to a certain lender of Act-On as of the AO Closing (the “Payoff Amount”) and the out-of-pocket expenses incurred by Act-On in connection with the AO Merger (the “Transaction Expenses”) in cash to Act-On Stockholders, and issue a number of shares of Class A Common Stock (the “AO Share Consideration”) (or pre-funded warrants in lieu thereof, the “AO Pre-Funded Warrants”) to Act-On Stockholders and Management Employees that equal to the quotient of $33,200,000 divided by the average of the daily volume-weighted average trading prices of Class A Common Stock for the consecutive five (5) Trading Days (as defined in the AO Merger Agreement) immediately prior to and including the Trading Day immediately preceding the date of closing (the “AO Closing Date”) (the “Banzai 5-Day VWAP”).</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anything in the AO Merger Agreement to the contrary, Banzai shall not issue any shares of Class A Common Stock, to the extent that the issuance of shares of Class A Common Stock as AO Share Consideration would result in the Act-On Stockholders and Management Employees receiving an aggregate number of shares of Class A Common Stock exceeding 19.99% of the total shares of Class A Common Stock and shares of Class B Common Stock issued and outstanding immediately prior to the AO Effective Time (the “Nasdaq Ownership Limitation”). In addition, notwithstanding anything in the AO Merger Agreement and AO Pre-Funded Warrants to the contrary, Banzai shall not issue any shares of Class A Common Stock, to the extent that any issuance of the shares of Class A Common Stock as AO Share Consideration would result in an Act-On Stockholder or a Management Employee, together with its affiliates, beneficially owning (as determined in accordance with Section 13(d) of the Exchange Act and the rules promulgated thereunder) more than 4.99% of the Class A Common Stock issued and outstanding immediately following such issuance (the “Beneficial Ownership Limitation” and, together with Nasdaq</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3" w:name="page164"/>
    <w:bookmarkEnd w:id="163"/>
    <w:p>
      <w:pPr>
        <w:jc w:val="both"/>
        <w:spacing w:after="0" w:line="261" w:lineRule="auto"/>
        <w:rPr>
          <w:sz w:val="20"/>
          <w:szCs w:val="20"/>
          <w:color w:val="auto"/>
        </w:rPr>
      </w:pPr>
      <w:r>
        <w:rPr>
          <w:rFonts w:ascii="Times New Roman" w:cs="Times New Roman" w:eastAsia="Times New Roman" w:hAnsi="Times New Roman"/>
          <w:sz w:val="18"/>
          <w:szCs w:val="18"/>
          <w:color w:val="auto"/>
        </w:rPr>
        <w:t>Ownership Limitation, the “Ownership Limitations”). If and to the extent either of the Ownership Limitations prevents Banzai from issuing AO Share Consideration comprised exclusively of shares of Class A Common Stock, then Banzai instead will issue as AO Share Consideration (i) the maximum number of shares of Class A Common Stock that may be issued without exceeding either Ownership Limitation, and (ii) AO Pre-Funded Warrants exercisable for the number of shares of Class A Common Stock the issuance of which was prevented by application of the Ownership Limitations.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shares of Class A Common Stock and AO Pre-Funded Warrants will be issued to the Management Employees under Banzai’s 2023 equity incentive plan, as amended, pursuant to the registration statement on Form S-8, as amended (File No. 333-278218) and some of the shares of Class A Common Stock and AO Pre-Funded Warrants will be issued to certain Act-On Stockholders and Management Employees in reliance upon exemption provided by Rule 506(b) of Regulation D promulgated thereunder of the Securities Act, pursuant to a subscription booklet (the “Subscription Booklet”).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AO Pre-Funded Warrant shall have an exercise price of $0.001 per each share of Class A Common Stock issuable thereunder. The AO Pre-Funded Warrants will be registered in Banzai’s books and will not be listed for trading on any stock exchange or trading market. The terms of the AO Pre-Funded Warrants will provide that Banzai shall not issue shares of Class A Common Stock to any holder of a AO Pre-Funded Warrant upon the exercise thereof to the extent that after giving effect to such issuance, such holder would beneficially own a number of shares of Class A Common Stock in excess of the Nasdaq Ownership Limitation. Notwithstanding the foregoing, the Nasdaq Ownership Limitation shall not apply following the receipt of the Banzai stockholder approval contemplated by Rule 5635 of the Nasdaq listing rules with respect to the issuance of shares of Class A Common Stock upon exercise of the AO Pre-Funded Warrants in excess of the Nasdaq Ownership Limitation (the “AO Stockholder Approval”). The AO Pre-Funded Warrants also contain a beneficial ownership limitation that provides that the Company shall not effect any exercise of the AO Pre-Funded Warrants, and the holders of the AO Pre-Funded Warrants shall not have the right to exercise any portion of the AO Pre-Funded Warrants, to the extent that after giving effect to such issuance after exercise, the holder would beneficially own in excess of the Beneficial Ownership Limitation.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Closing, Banzai will convene and hold a special meeting of its stockholders to obtain the AO Stockholder Approval (the “AO Special Meeting”). In connection with the AO Special Meeting, on January 22, 2025, Joseph P. Davy, Banzai’s Chief Executive Officer, who holds approximately 78.55% of Banzai’s total voting power as of the date of the AO Merger Agreement, entered into a Voting and Support Agreement, with Banzai (the “Voting and Support Agreement”) that obligates him to vote all the shares of Class B Common Stock beneficially owned by him in favor of the AO Stockholder Approval.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AO Merger Agreement, Banzai will withhold from the AO Share Consideration a number of shares of Class A Common Stock equal to the quotient of $2,000,000 divided by the Banzai’s 5-Day VWAP, as adjusted pursuant to the AO Merger Agreement (the “Indemnification Holdback Amount”), as security for the obligations of Act-On Stockholders pursuant to the AO Merger Agreement. The Indemnification Holdback Amount shall be held for a period of twelve (12) months following the Closing Date (the “Indemnification Holdback Period”) and shall be released to Act-On Stockholders and Management Employees (in accordance with the Allocation Schedule) within ten (10) business days of the expiration of the Indemnification Holdback Period. The released aggregate amount shall be equal to (a) the Indemnification Holdback Amount, as allocated to Act-On Stockholders and Management Employees in accordance with the Allocation Schedule, less (b) any amounts set off against the Indemnification Holdback Amount pursuant to the AO Merger Agreement. The Indemnification Holdback amount shall be held by the Transfer Agent for the benefit of Act-On Stockholders and Management Employees and shall be released to Act-On Stockholders and Management Employees pursuant to the terms of a certain share consideration escrow agreement (the “Escrow Agreement”) by and among Banzai, Act-On, each of Act-On Stockholders and Management Employees and Continental Stock Transfer &amp; Trust Company, a New York limited purpose trust company (the “Escrow Agent”).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prior to the consummation of the AO Merger, parties will enter into the Escrow Agreement, pursuant to which, the Escrow Agent shall hold, for the benefit of Banzai, the Indemnification Holdback Amount. The Escrow Agent shall administer the Indemnification Holdback Amount in accordance with the written instructions jointly provided by Banzai and Act-On to the Escrow Agent to release the Indemnification Holdback Amount, or any portion thereof, as set forth in such instruction.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or prior to the consummation of the AO Merger, Banzai shall execute and deliver to the Act-On Stockholders and Management Employees a registration rights agreement (the “AO Registration Rights Agreement”), pursuant to which, among other things, Banzai will agree to register for resale, within five (5) Business Days (as defined in the AO Merger Agreement) following the AO Closing, on an applicable registration statement under the Securities Act, the shares of Class A Common Stock, to be issued to the Act-On Stockholders and Management Employees pursuant to the AO Merger Agreement and the shares of Class A Common Stock issuable upon exercise of the AO Pre-Funded Warrants.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4" w:name="page165"/>
    <w:bookmarkEnd w:id="164"/>
    <w:p>
      <w:pPr>
        <w:jc w:val="both"/>
        <w:spacing w:after="0" w:line="254" w:lineRule="auto"/>
        <w:rPr>
          <w:sz w:val="20"/>
          <w:szCs w:val="20"/>
          <w:color w:val="auto"/>
        </w:rPr>
      </w:pPr>
      <w:r>
        <w:rPr>
          <w:rFonts w:ascii="Times New Roman" w:cs="Times New Roman" w:eastAsia="Times New Roman" w:hAnsi="Times New Roman"/>
          <w:sz w:val="18"/>
          <w:szCs w:val="18"/>
          <w:color w:val="auto"/>
        </w:rPr>
        <w:t>The Closing of the AO Merger by each of Banzai, Merger Sub, and Act-On is subject to customary conditions, including (1) (A) adoption of the AO Merger Agreement by the Act-On Stockholders that hold the requisite percentage necessary to approve the AO Merger under Act-On’s Amended and Restated Certificate of Incorporation and (B) approval of the AO Transaction by Banzai’s board of directors, (2) authorization for listing on the Nasdaq Capital Market of the shares of Class A Common Stock to be issued in the AO Merger, subject to official notice of issuance, and (3) the absence of any order, injunction, decree or other legal restraint preventing the completion of the AO Merger or making the completion of the AO Merger illegal. Each party’s obligation to complete the AO Merger is also subject to certain additional customary conditions, including subject to certain exceptions, the accuracy of the representations and warranties of the other party and performance in all material respects by the other party of its obligations under the AO Merger Agreement. The AO Merger Agreement also contains customary representations, warranties, and indemnities of Banzai and Act-On.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of Class A Common Stock issued to Winterberry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2025 the Company issued 30,000 shares to Verista Partners, Inc., aka Winterberry Group, one of its Creditors, in exchange for the cancellation of a portion of the total outstanding debt, in the amount of $16,666, pursuant to the Debt Reorganization.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Notice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reported, the Company had a hearing before the Nasdaq Hearings Panel (the "Panel") on September 19, 2024. On September 26, 2024, Nasdaq provided the Company with its determination to phase the Company down from the Nasdaq Global Market to the Nasdaq Capital Market (the "Exchange") and grant the Company an extension until January 31, 2025 to demonstrate compliance with Nasdaq's listing rules, so long as the company applies to list on the Nasdaq Capital Market on or before October 7, 2024 and demonstrates compliance with Listing Rules 5550(a)(2), 5550(a)(5) and 5550(b)(1) on or before January 31, 2024. On February 12, 2025, the Company received a letter from the Nasdaq Stock Market LLC, Office of the General Counsel that Nasdaq's Listing Qualifications staff confirmed that the Company has demonstrated compliance with all of the Nasdaq Stock Market's listing requirements and therefore the Company's securities will remain listed on the Exchange.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Note Issuance to Agile Lending, LLC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 of the December Agile Note, with a maturity date on the March Agile Note of November 12, 2025. The March Agile Note bears interest at a rate of 44%, and interest will be calculated on a three hundred and sixty</w:t>
      </w:r>
    </w:p>
    <w:p>
      <w:pPr>
        <w:spacing w:after="0" w:line="3" w:lineRule="exact"/>
        <w:rPr>
          <w:sz w:val="20"/>
          <w:szCs w:val="20"/>
          <w:color w:val="auto"/>
        </w:rPr>
      </w:pPr>
    </w:p>
    <w:p>
      <w:pPr>
        <w:ind w:firstLine="8"/>
        <w:spacing w:after="0" w:line="260" w:lineRule="auto"/>
        <w:tabs>
          <w:tab w:leader="none" w:pos="4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year based on the actual number of days lapsed, and interest shall accrue on the March Agile Note commencing on and including the effective date pursuant to the March Agile Note Agreement’s weekly repayment and amortization schedule.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00" w:lineRule="exact"/>
        <w:rPr>
          <w:sz w:val="20"/>
          <w:szCs w:val="20"/>
          <w:color w:val="auto"/>
        </w:rPr>
      </w:pPr>
    </w:p>
    <w:p>
      <w:pPr>
        <w:spacing w:after="0" w:line="313" w:lineRule="exact"/>
        <w:rPr>
          <w:sz w:val="20"/>
          <w:szCs w:val="20"/>
          <w:color w:val="auto"/>
        </w:rPr>
      </w:pPr>
    </w:p>
    <w:p>
      <w:pPr>
        <w:jc w:val="both"/>
        <w:ind w:right="120"/>
        <w:spacing w:after="0" w:line="234" w:lineRule="auto"/>
        <w:rPr>
          <w:sz w:val="20"/>
          <w:szCs w:val="20"/>
          <w:color w:val="auto"/>
        </w:rPr>
      </w:pPr>
      <w:r>
        <w:rPr>
          <w:rFonts w:ascii="Times New Roman" w:cs="Times New Roman" w:eastAsia="Times New Roman" w:hAnsi="Times New Roman"/>
          <w:sz w:val="22"/>
          <w:szCs w:val="22"/>
          <w:b w:val="1"/>
          <w:bCs w:val="1"/>
          <w:color w:val="auto"/>
        </w:rPr>
        <w:t>NEITHER THIS NOTE NOR THE SECURITIES INTO WHICH THIS NOTE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NOTWITHSTANDING THE FOREGOING, THE SECURITIES MAY BE PLEDGED IN CONNECTION WITH A BONA FIDE MARGIN ACCOUNT OR OTHER LOAN OR FINANCING ARRANGEMENT SECURED BY THE SECURITIES.</w:t>
      </w:r>
    </w:p>
    <w:p>
      <w:pPr>
        <w:spacing w:after="0" w:line="3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5"/>
          <w:szCs w:val="25"/>
          <w:b w:val="1"/>
          <w:bCs w:val="1"/>
          <w:color w:val="auto"/>
        </w:rPr>
        <w:t>BANZAI INTERNATIONAL, INC.</w:t>
      </w:r>
    </w:p>
    <w:p>
      <w:pPr>
        <w:spacing w:after="0" w:line="200" w:lineRule="exact"/>
        <w:rPr>
          <w:sz w:val="20"/>
          <w:szCs w:val="20"/>
          <w:color w:val="auto"/>
        </w:rPr>
      </w:pPr>
    </w:p>
    <w:p>
      <w:pPr>
        <w:spacing w:after="0" w:line="2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onvertible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romissory</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Original Principal Amount: $1,500,000 Issuance Date: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March 26, 2024 Number: BNZI-3</w:t>
      </w:r>
    </w:p>
    <w:p>
      <w:pPr>
        <w:spacing w:after="0" w:line="2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 xml:space="preserve">FOR VALUE RECEIVED, </w:t>
      </w:r>
      <w:r>
        <w:rPr>
          <w:rFonts w:ascii="Times New Roman" w:cs="Times New Roman" w:eastAsia="Times New Roman" w:hAnsi="Times New Roman"/>
          <w:sz w:val="22"/>
          <w:szCs w:val="22"/>
          <w:color w:val="auto"/>
        </w:rPr>
        <w:t>BANZAI INTERNATIONAL, INC., an entity</w:t>
      </w:r>
    </w:p>
    <w:p>
      <w:pPr>
        <w:spacing w:after="0" w:line="18"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21"/>
          <w:szCs w:val="21"/>
          <w:color w:val="auto"/>
        </w:rPr>
        <w:t>organized under the laws of the State of Delaware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hereby promises to pay to the order of YA II PN, LTD., or its registered assigns (the “</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the amount set out above as the Original Principal Amount (as reduced pursuant to the terms hereof pursuant to repayment, redemption, conversion or otherwise, the “</w:t>
      </w:r>
      <w:r>
        <w:rPr>
          <w:rFonts w:ascii="Times New Roman" w:cs="Times New Roman" w:eastAsia="Times New Roman" w:hAnsi="Times New Roman"/>
          <w:sz w:val="21"/>
          <w:szCs w:val="21"/>
          <w:u w:val="single" w:color="auto"/>
          <w:color w:val="auto"/>
        </w:rPr>
        <w:t>Principal</w:t>
      </w:r>
      <w:r>
        <w:rPr>
          <w:rFonts w:ascii="Times New Roman" w:cs="Times New Roman" w:eastAsia="Times New Roman" w:hAnsi="Times New Roman"/>
          <w:sz w:val="21"/>
          <w:szCs w:val="21"/>
          <w:color w:val="auto"/>
        </w:rPr>
        <w:t>”) and Payment Premium (as applicable), in each case when due, and to pay interest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on any outstanding Principal at the applicable Interest Rate (as defined below) from the date set out above as the Issuance Date (the “</w:t>
      </w:r>
      <w:r>
        <w:rPr>
          <w:rFonts w:ascii="Times New Roman" w:cs="Times New Roman" w:eastAsia="Times New Roman" w:hAnsi="Times New Roman"/>
          <w:sz w:val="21"/>
          <w:szCs w:val="21"/>
          <w:u w:val="single" w:color="auto"/>
          <w:color w:val="auto"/>
        </w:rPr>
        <w:t>Issuance Date</w:t>
      </w:r>
      <w:r>
        <w:rPr>
          <w:rFonts w:ascii="Times New Roman" w:cs="Times New Roman" w:eastAsia="Times New Roman" w:hAnsi="Times New Roman"/>
          <w:sz w:val="21"/>
          <w:szCs w:val="21"/>
          <w:color w:val="auto"/>
        </w:rPr>
        <w:t>”) until the same becomes due and payable, whether upon the Maturity Date or acceleration, conversion, redemption or otherwise (in each case in accordance with the terms hereof). Certain capitalized terms used herein are defined in Section (12). The Issuance Date is the date of the first issuance of this Convertible Promissory Note (the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regardless of the number of transfers and regardless of the number of instruments, which may be issued to evidence such Note. This Note was issued with a 10% original issue discount.</w:t>
      </w:r>
    </w:p>
    <w:p>
      <w:pPr>
        <w:spacing w:after="0" w:line="219" w:lineRule="exact"/>
        <w:rPr>
          <w:sz w:val="20"/>
          <w:szCs w:val="20"/>
          <w:color w:val="auto"/>
        </w:rPr>
      </w:pPr>
    </w:p>
    <w:p>
      <w:pPr>
        <w:jc w:val="both"/>
        <w:ind w:right="120" w:firstLine="1496"/>
        <w:spacing w:after="0" w:line="236" w:lineRule="auto"/>
        <w:rPr>
          <w:sz w:val="20"/>
          <w:szCs w:val="20"/>
          <w:color w:val="auto"/>
        </w:rPr>
      </w:pPr>
      <w:r>
        <w:rPr>
          <w:rFonts w:ascii="Times New Roman" w:cs="Times New Roman" w:eastAsia="Times New Roman" w:hAnsi="Times New Roman"/>
          <w:sz w:val="22"/>
          <w:szCs w:val="22"/>
          <w:color w:val="auto"/>
        </w:rPr>
        <w:t>This Note is being issued pursuant to Section 2.01 of the Standby Equity Purchase Agreement, dated December 14, 2023 (as may be amended,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SEPA</w:t>
      </w:r>
      <w:r>
        <w:rPr>
          <w:rFonts w:ascii="Times New Roman" w:cs="Times New Roman" w:eastAsia="Times New Roman" w:hAnsi="Times New Roman"/>
          <w:sz w:val="22"/>
          <w:szCs w:val="22"/>
          <w:color w:val="auto"/>
        </w:rPr>
        <w:t>”), between the Company and the YA II PN, Ltd., as the Investor. This Note may be repaid in accordance with the terms of the SEPA, including, without limitation, pursuant to Investor Notices and corresponding Advance Notices deemed given by the Company in connection with such Investor Notices. The Holder also has the option of converting on one or more occasions all or part of the then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outstanding balance under this Note by delivering to the Company one or more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220980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31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Notices in accordance with Section 3 of this Note.</w:t>
      </w:r>
    </w:p>
    <w:p>
      <w:pPr>
        <w:spacing w:after="0" w:line="233" w:lineRule="exact"/>
        <w:rPr>
          <w:sz w:val="20"/>
          <w:szCs w:val="20"/>
          <w:color w:val="auto"/>
        </w:rPr>
      </w:pPr>
    </w:p>
    <w:p>
      <w:pPr>
        <w:ind w:left="2240" w:hanging="750"/>
        <w:spacing w:after="0"/>
        <w:tabs>
          <w:tab w:leader="none" w:pos="22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TERMS</w:t>
      </w:r>
    </w:p>
    <w:p>
      <w:pPr>
        <w:spacing w:after="0" w:line="247"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On the Maturity Date, the Company shall pay to the Holder an amount in cash representing all outstanding Principal, accrued and unpaid Interest, and any other amounts outstanding pursuant to the terms of this Note. The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shall be June 14, 2024, as may be extended at the option of the Holder. Other than as specifically permitted by this Note, the Company may not prepay or redeem any portion of the outstanding Principal and accrued and unpaid Interest.</w:t>
      </w:r>
    </w:p>
    <w:p>
      <w:pPr>
        <w:spacing w:after="0" w:line="217"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Interest Rate and Payment of Interest</w:t>
      </w:r>
      <w:r>
        <w:rPr>
          <w:rFonts w:ascii="Times New Roman" w:cs="Times New Roman" w:eastAsia="Times New Roman" w:hAnsi="Times New Roman"/>
          <w:sz w:val="22"/>
          <w:szCs w:val="22"/>
          <w:color w:val="auto"/>
        </w:rPr>
        <w:t>. Interest shall accrue on the outstanding Principal balance hereof at an annual rate equal to 0% (“</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w:t>
      </w:r>
    </w:p>
    <w:p>
      <w:pPr>
        <w:spacing w:after="0" w:line="20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Monthly Payments</w:t>
      </w:r>
      <w:r>
        <w:rPr>
          <w:rFonts w:ascii="Times New Roman" w:cs="Times New Roman" w:eastAsia="Times New Roman" w:hAnsi="Times New Roman"/>
          <w:sz w:val="21"/>
          <w:szCs w:val="21"/>
          <w:color w:val="auto"/>
        </w:rPr>
        <w:t>. If, any time after the Issuance Date set forth above, and from time to time thereafter, an Amortization Event occurs, then the Company shall make monthly payments beginning on the 7th Trading Day after the Amortization Event Date and continuing on the same day of each successive Calendar Month. Each monthly payment shall be in an amount equal to the sum of (i) $1,000,000 of Principal in the aggregate among this Note and all Other Notes (or the outstanding Principal if less than such amount) (the “</w:t>
      </w:r>
      <w:r>
        <w:rPr>
          <w:rFonts w:ascii="Times New Roman" w:cs="Times New Roman" w:eastAsia="Times New Roman" w:hAnsi="Times New Roman"/>
          <w:sz w:val="21"/>
          <w:szCs w:val="21"/>
          <w:u w:val="single" w:color="auto"/>
          <w:color w:val="auto"/>
        </w:rPr>
        <w:t>Amortization Principal Amount</w:t>
      </w:r>
      <w:r>
        <w:rPr>
          <w:rFonts w:ascii="Times New Roman" w:cs="Times New Roman" w:eastAsia="Times New Roman" w:hAnsi="Times New Roman"/>
          <w:sz w:val="21"/>
          <w:szCs w:val="21"/>
          <w:color w:val="auto"/>
        </w:rPr>
        <w:t>”), plus (ii) the Payment Premium (as defined below) in respect of such Amortization Principal Amount, and (iii) accrued and unpaid interest hereunder as of each payment date. The obligation of the Company to make monthly prepayments related to an Amortization Event shall cease (with respect to any payment that has not yet come due) if any time after the Amortization Date (A) in the event of a Floor Price Event, on the date that is the 7th consecutive Trading Day that the daily VWAP is greater than the Floor Price then in effect, or the date that the Company reduces the Floor Price in accordance with the terms of this Note, (B) in the event of a Registration Event, the condition or event causing the Registration Event has been cured or the Holder is able to resell the Common Shares issuable upon conversion of this Note in accordance with Rule 144 under the Securities Act, or (C)in the event of an Exchange Cap Event, the date the Company has obtained stockholder approval to increase the number of Common Shares under the Exchange Cap and/ or the Exchange Cap no longer applies, unless a subsequent Amortization Event occurs.</w:t>
      </w:r>
    </w:p>
    <w:p>
      <w:pPr>
        <w:spacing w:after="0" w:line="221"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The Company at its option shall have the right, but not the obligation, to redeem (“</w:t>
      </w: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xml:space="preserve">”) early a portion or all amounts outstanding under this Note as described in this Section;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the Company provides the Holder with at least five Trading Days’ prior written notice (each, a “</w:t>
      </w: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of its desire to exercise an Optional Redemption, and (ii) on the date the Redemption Notice is issued, the VWAP of the Common Stock is less than the Fixed Price. Each Redemption Notice shall be irrevocable and shall specify the outstanding balance of the Note to be redeemed and the Redemption Amount. The “</w:t>
      </w:r>
      <w:r>
        <w:rPr>
          <w:rFonts w:ascii="Times New Roman" w:cs="Times New Roman" w:eastAsia="Times New Roman" w:hAnsi="Times New Roman"/>
          <w:sz w:val="22"/>
          <w:szCs w:val="22"/>
          <w:u w:val="single" w:color="auto"/>
          <w:color w:val="auto"/>
        </w:rPr>
        <w:t>Redemption Amount</w:t>
      </w:r>
      <w:r>
        <w:rPr>
          <w:rFonts w:ascii="Times New Roman" w:cs="Times New Roman" w:eastAsia="Times New Roman" w:hAnsi="Times New Roman"/>
          <w:sz w:val="22"/>
          <w:szCs w:val="22"/>
          <w:color w:val="auto"/>
        </w:rPr>
        <w:t>” shall be equal to the outstanding Principal balance being redeemed by the Company, plus the Payment Premium, plus all accrued and unpaid interest. After receipt of the Redemption Notice, the Holder shall have five Trading Days to elect</w:t>
      </w:r>
    </w:p>
    <w:p>
      <w:pPr>
        <w:spacing w:after="0" w:line="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convert all or any portion of the Note. On the sixth Trading Day after the Redemption Notice, the Company shall deliver to the Holder the Redemption Amount with respect to the Principal amount redeemed after giving effect to conversions or other payments effected during the five Trading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346075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5" w:right="459" w:bottom="1440" w:gutter="0" w:footer="0" w:header="0"/>
        </w:sectPr>
      </w:pPr>
    </w:p>
    <w:bookmarkStart w:id="167" w:name="page168"/>
    <w:bookmarkEnd w:id="167"/>
    <w:p>
      <w:pPr>
        <w:ind w:firstLine="2246"/>
        <w:spacing w:after="0" w:line="258"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Whenever any payment or other obligation hereunder shall be due on a day other than a Business Day, such payment shall be made on the next succeeding Business Day.</w:t>
      </w:r>
    </w:p>
    <w:p>
      <w:pPr>
        <w:spacing w:after="0" w:line="199" w:lineRule="exact"/>
        <w:rPr>
          <w:sz w:val="20"/>
          <w:szCs w:val="20"/>
          <w:color w:val="auto"/>
        </w:rPr>
      </w:pPr>
    </w:p>
    <w:p>
      <w:pPr>
        <w:ind w:left="2240" w:hanging="750"/>
        <w:spacing w:after="0"/>
        <w:tabs>
          <w:tab w:leader="none" w:pos="22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(a)An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200" w:lineRule="exact"/>
        <w:rPr>
          <w:sz w:val="20"/>
          <w:szCs w:val="20"/>
          <w:color w:val="auto"/>
        </w:rPr>
      </w:pPr>
    </w:p>
    <w:p>
      <w:pPr>
        <w:jc w:val="both"/>
        <w:ind w:firstLine="2988"/>
        <w:spacing w:after="0" w:line="244" w:lineRule="auto"/>
        <w:tabs>
          <w:tab w:leader="none" w:pos="345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pay to the Holder any amount of Principal, Redemption Amount, Payment Premium, Interest, or other amounts when and as due under this Note or any other Transaction Document within five (5) Trading Days after such payment is due;</w:t>
      </w:r>
    </w:p>
    <w:p>
      <w:pPr>
        <w:spacing w:after="0" w:line="173" w:lineRule="exact"/>
        <w:rPr>
          <w:rFonts w:ascii="Times New Roman" w:cs="Times New Roman" w:eastAsia="Times New Roman" w:hAnsi="Times New Roman"/>
          <w:sz w:val="22"/>
          <w:szCs w:val="22"/>
          <w:color w:val="auto"/>
        </w:rPr>
      </w:pPr>
    </w:p>
    <w:p>
      <w:pPr>
        <w:jc w:val="both"/>
        <w:ind w:firstLine="2988"/>
        <w:spacing w:after="0" w:line="232" w:lineRule="auto"/>
        <w:tabs>
          <w:tab w:leader="none" w:pos="345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commence, or there shall be commenced against the Company or any Subsidiary of the Company any proceeding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any such bankruptcy, insolvency or other proceeding which remains undismissed for a period of sixty one (61) days; or the Company or any Subsidiary of the Company is adjudicated insolvent or bankrupt; or any order of relief or other order approving any such case or proceeding is entered; or the Company or any Subsidiary of the Company suffers any appointment of any custodian, private or court appointed receiver or the like for it or all or substantially all of its property which continues undischarged or unstayed for a period of sixty one (61) days; or the Company or any Subsidiary of the Company makes a general assignment of all or substantially all of its assets for the benefit of creditors; or the Company or any Subsidiary of the Company shall fail to pay, or shall state that it is unable to pay, or shall be unable to pay, its debts generally as they become due; or the Company or any Subsidiary of the Company shall call a meeting of its creditors with a view to arranging a composition, adjustment or restructuring of its debts; or the Company or any Subsidiary of the Company shall by any act or failure to act expressly indicate its consent to, approval of or acquiescence in any of the foregoing; or any corporate or other action is taken by the Company or any Subsidiary of the Company for the purpose of effecting any of the foregoing;</w:t>
      </w:r>
    </w:p>
    <w:p>
      <w:pPr>
        <w:spacing w:after="0" w:line="189" w:lineRule="exact"/>
        <w:rPr>
          <w:rFonts w:ascii="Times New Roman" w:cs="Times New Roman" w:eastAsia="Times New Roman" w:hAnsi="Times New Roman"/>
          <w:sz w:val="22"/>
          <w:szCs w:val="22"/>
          <w:color w:val="auto"/>
        </w:rPr>
      </w:pPr>
    </w:p>
    <w:p>
      <w:pPr>
        <w:jc w:val="both"/>
        <w:ind w:firstLine="2988"/>
        <w:spacing w:after="0" w:line="239" w:lineRule="auto"/>
        <w:tabs>
          <w:tab w:leader="none" w:pos="345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default beyond applicable grace and cure periods, in any of its obligations under any debenture, mortgage, credit agreement or other facility, indenture agreement, factoring agreement or other instrument under which there may be issued, or by which there may be secured or evidenced any</w:t>
      </w:r>
    </w:p>
    <w:p>
      <w:pPr>
        <w:spacing w:after="0" w:line="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indebtedness for borrowed money or money due under any long term leasing or factoring arrangement of the Company or any Subsidiary of the Company in an amount exceeding $500,000, whether such indebtedness now exists or shall hereafter be created and such default is not cured within the time prescribed by the documents governing such indebtedness or if no time is prescribed, within ten (10) Trading Days, and as a result, such indebtedness becomes or is declared due and payable;</w:t>
      </w:r>
    </w:p>
    <w:p>
      <w:pPr>
        <w:spacing w:after="0" w:line="180" w:lineRule="exact"/>
        <w:rPr>
          <w:sz w:val="20"/>
          <w:szCs w:val="20"/>
          <w:color w:val="auto"/>
        </w:rPr>
      </w:pPr>
    </w:p>
    <w:p>
      <w:pPr>
        <w:ind w:right="20" w:firstLine="2988"/>
        <w:spacing w:after="0" w:line="258" w:lineRule="auto"/>
        <w:tabs>
          <w:tab w:leader="none" w:pos="345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judgment or judgments for the payment of money aggregating in excess of $500,000 are rendered against the Company and/or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191135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5" w:right="459" w:bottom="1440" w:gutter="0" w:footer="0" w:header="0"/>
        </w:sectPr>
      </w:pPr>
    </w:p>
    <w:bookmarkStart w:id="168" w:name="page169"/>
    <w:bookmarkEnd w:id="168"/>
    <w:p>
      <w:pPr>
        <w:jc w:val="both"/>
        <w:spacing w:after="0" w:line="235" w:lineRule="auto"/>
        <w:rPr>
          <w:sz w:val="20"/>
          <w:szCs w:val="20"/>
          <w:color w:val="auto"/>
        </w:rPr>
      </w:pPr>
      <w:r>
        <w:rPr>
          <w:rFonts w:ascii="Times New Roman" w:cs="Times New Roman" w:eastAsia="Times New Roman" w:hAnsi="Times New Roman"/>
          <w:sz w:val="22"/>
          <w:szCs w:val="22"/>
          <w:color w:val="auto"/>
        </w:rPr>
        <w:t>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$100,000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224" w:lineRule="exact"/>
        <w:rPr>
          <w:sz w:val="20"/>
          <w:szCs w:val="20"/>
          <w:color w:val="auto"/>
        </w:rPr>
      </w:pPr>
    </w:p>
    <w:p>
      <w:pPr>
        <w:ind w:firstLine="2988"/>
        <w:spacing w:after="0" w:line="258" w:lineRule="auto"/>
        <w:tabs>
          <w:tab w:leader="none" w:pos="345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shall cease to be quoted or listed for trading, as applicable, on any Primary Market for a period of ten (10) consecutive Trading Days;</w:t>
      </w:r>
    </w:p>
    <w:p>
      <w:pPr>
        <w:spacing w:after="0" w:line="198" w:lineRule="exact"/>
        <w:rPr>
          <w:rFonts w:ascii="Times New Roman" w:cs="Times New Roman" w:eastAsia="Times New Roman" w:hAnsi="Times New Roman"/>
          <w:sz w:val="22"/>
          <w:szCs w:val="22"/>
          <w:color w:val="auto"/>
        </w:rPr>
      </w:pPr>
    </w:p>
    <w:p>
      <w:pPr>
        <w:jc w:val="both"/>
        <w:ind w:firstLine="2988"/>
        <w:spacing w:after="0" w:line="244" w:lineRule="auto"/>
        <w:tabs>
          <w:tab w:leader="none" w:pos="345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of the Company shall be a party to any Change of Control Transaction (as defined in Section (12)) unless in connection with such Change of Control Transaction this Note is retired;</w:t>
      </w:r>
    </w:p>
    <w:p>
      <w:pPr>
        <w:spacing w:after="0" w:line="200" w:lineRule="exact"/>
        <w:rPr>
          <w:rFonts w:ascii="Times New Roman" w:cs="Times New Roman" w:eastAsia="Times New Roman" w:hAnsi="Times New Roman"/>
          <w:sz w:val="22"/>
          <w:szCs w:val="22"/>
          <w:color w:val="auto"/>
        </w:rPr>
      </w:pPr>
    </w:p>
    <w:p>
      <w:pPr>
        <w:jc w:val="both"/>
        <w:ind w:firstLine="2988"/>
        <w:spacing w:after="0" w:line="239" w:lineRule="auto"/>
        <w:tabs>
          <w:tab w:leader="none" w:pos="345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 failure to deliver the required number of Common Shares to the Holder within two (2) Trading Days after the applicable Share Delivery Date or (B) notice, written or oral, to any holder of the Note, including by way of public announcement, at any time, of its intention not to comply with a request for conversion of any Note into Common Shares that is tendered in accordance with the provisions of the Note;</w:t>
      </w:r>
    </w:p>
    <w:p>
      <w:pPr>
        <w:spacing w:after="0" w:line="221" w:lineRule="exact"/>
        <w:rPr>
          <w:sz w:val="20"/>
          <w:szCs w:val="20"/>
          <w:color w:val="auto"/>
        </w:rPr>
      </w:pPr>
    </w:p>
    <w:p>
      <w:pPr>
        <w:ind w:firstLine="2995"/>
        <w:spacing w:after="0" w:line="258" w:lineRule="auto"/>
        <w:rPr>
          <w:sz w:val="20"/>
          <w:szCs w:val="20"/>
          <w:color w:val="auto"/>
        </w:rPr>
      </w:pPr>
      <w:r>
        <w:rPr>
          <w:rFonts w:ascii="Times New Roman" w:cs="Times New Roman" w:eastAsia="Times New Roman" w:hAnsi="Times New Roman"/>
          <w:sz w:val="22"/>
          <w:szCs w:val="22"/>
          <w:color w:val="auto"/>
        </w:rPr>
        <w:t>(viii)The Company shall fail for any reason to deliver the payment in cash pursuant to a Buy-In (as defined herein) within five (5) Business Days after such payment is due;</w:t>
      </w:r>
    </w:p>
    <w:p>
      <w:pPr>
        <w:spacing w:after="0" w:line="158" w:lineRule="exact"/>
        <w:rPr>
          <w:sz w:val="20"/>
          <w:szCs w:val="20"/>
          <w:color w:val="auto"/>
        </w:rPr>
      </w:pPr>
    </w:p>
    <w:p>
      <w:pPr>
        <w:jc w:val="both"/>
        <w:ind w:firstLine="2988"/>
        <w:spacing w:after="0" w:line="244" w:lineRule="auto"/>
        <w:tabs>
          <w:tab w:leader="none" w:pos="345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w:t>
      </w:r>
    </w:p>
    <w:p>
      <w:pPr>
        <w:spacing w:after="0" w:line="213" w:lineRule="exact"/>
        <w:rPr>
          <w:rFonts w:ascii="Times New Roman" w:cs="Times New Roman" w:eastAsia="Times New Roman" w:hAnsi="Times New Roman"/>
          <w:sz w:val="22"/>
          <w:szCs w:val="22"/>
          <w:color w:val="auto"/>
        </w:rPr>
      </w:pPr>
    </w:p>
    <w:p>
      <w:pPr>
        <w:jc w:val="both"/>
        <w:ind w:firstLine="2988"/>
        <w:spacing w:after="0" w:line="239" w:lineRule="auto"/>
        <w:tabs>
          <w:tab w:leader="none" w:pos="345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materiality, such representation or warranty shall prove to have been incorrect) when made or deemed made;</w:t>
      </w:r>
    </w:p>
    <w:p>
      <w:pPr>
        <w:spacing w:after="0" w:line="31" w:lineRule="exact"/>
        <w:rPr>
          <w:rFonts w:ascii="Times New Roman" w:cs="Times New Roman" w:eastAsia="Times New Roman" w:hAnsi="Times New Roman"/>
          <w:sz w:val="22"/>
          <w:szCs w:val="22"/>
          <w:color w:val="auto"/>
        </w:rPr>
      </w:pPr>
    </w:p>
    <w:p>
      <w:pPr>
        <w:jc w:val="both"/>
        <w:ind w:firstLine="2988"/>
        <w:spacing w:after="0" w:line="238" w:lineRule="auto"/>
        <w:tabs>
          <w:tab w:leader="none" w:pos="345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uses the proceeds of the issuance of this Note,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spacing w:after="0" w:line="217" w:lineRule="exact"/>
        <w:rPr>
          <w:rFonts w:ascii="Times New Roman" w:cs="Times New Roman" w:eastAsia="Times New Roman" w:hAnsi="Times New Roman"/>
          <w:sz w:val="22"/>
          <w:szCs w:val="22"/>
          <w:color w:val="auto"/>
        </w:rPr>
      </w:pPr>
    </w:p>
    <w:p>
      <w:pPr>
        <w:jc w:val="both"/>
        <w:ind w:right="20" w:firstLine="2988"/>
        <w:spacing w:after="0" w:line="244" w:lineRule="auto"/>
        <w:tabs>
          <w:tab w:leader="none" w:pos="345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(as defined in the Other Notes or in any Transaction Document other than this Note) occurs with respect to any Other Notes, or any other debenture, note, or instrument held by the Holder in the Company or any agreement between or among the Company and the Holder; or</w:t>
      </w:r>
    </w:p>
    <w:p>
      <w:pPr>
        <w:spacing w:after="0" w:line="200" w:lineRule="exact"/>
        <w:rPr>
          <w:sz w:val="20"/>
          <w:szCs w:val="20"/>
          <w:color w:val="auto"/>
        </w:rPr>
      </w:pPr>
    </w:p>
    <w:p>
      <w:pPr>
        <w:ind w:firstLine="2995"/>
        <w:spacing w:after="0" w:line="258" w:lineRule="auto"/>
        <w:rPr>
          <w:sz w:val="20"/>
          <w:szCs w:val="20"/>
          <w:color w:val="auto"/>
        </w:rPr>
      </w:pPr>
      <w:r>
        <w:rPr>
          <w:rFonts w:ascii="Times New Roman" w:cs="Times New Roman" w:eastAsia="Times New Roman" w:hAnsi="Times New Roman"/>
          <w:sz w:val="22"/>
          <w:szCs w:val="22"/>
          <w:color w:val="auto"/>
        </w:rPr>
        <w:t>(xiii)The Company shall fail to observe or perform any material covenant, agreement or warranty contained in, or otherwise commit any material breach or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199390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5" w:right="459" w:bottom="1440" w:gutter="0" w:footer="0" w:header="0"/>
        </w:sectPr>
      </w:pPr>
    </w:p>
    <w:bookmarkStart w:id="169" w:name="page170"/>
    <w:bookmarkEnd w:id="169"/>
    <w:p>
      <w:pPr>
        <w:jc w:val="both"/>
        <w:ind w:left="7"/>
        <w:spacing w:after="0" w:line="244" w:lineRule="auto"/>
        <w:rPr>
          <w:sz w:val="20"/>
          <w:szCs w:val="20"/>
          <w:color w:val="auto"/>
        </w:rPr>
      </w:pPr>
      <w:r>
        <w:rPr>
          <w:rFonts w:ascii="Times New Roman" w:cs="Times New Roman" w:eastAsia="Times New Roman" w:hAnsi="Times New Roman"/>
          <w:sz w:val="22"/>
          <w:szCs w:val="22"/>
          <w:color w:val="auto"/>
        </w:rPr>
        <w:t>of any provision of this Note (except as may be covered by Section (2)(a)(i) through (2)(a)(xii) hereof) or any other Transaction Document, which is not cured or remedied within the time prescribed or if no time is prescribed within ten (10) Business Days.</w:t>
      </w:r>
    </w:p>
    <w:p>
      <w:pPr>
        <w:spacing w:after="0" w:line="214" w:lineRule="exact"/>
        <w:rPr>
          <w:sz w:val="20"/>
          <w:szCs w:val="20"/>
          <w:color w:val="auto"/>
        </w:rPr>
      </w:pPr>
    </w:p>
    <w:p>
      <w:pPr>
        <w:jc w:val="both"/>
        <w:ind w:left="7" w:firstLine="2246"/>
        <w:spacing w:after="0" w:line="233" w:lineRule="auto"/>
        <w:rPr>
          <w:sz w:val="20"/>
          <w:szCs w:val="20"/>
          <w:color w:val="auto"/>
        </w:rPr>
      </w:pPr>
      <w:r>
        <w:rPr>
          <w:rFonts w:ascii="Times New Roman" w:cs="Times New Roman" w:eastAsia="Times New Roman" w:hAnsi="Times New Roman"/>
          <w:sz w:val="22"/>
          <w:szCs w:val="22"/>
          <w:color w:val="auto"/>
        </w:rPr>
        <w:t>(b)During the time that any portion of this Note is outstanding, if any Event of Default has occurred (other than an event with respect to the Company described in Section (2)(a)(ii)), the full unpaid Principal amount of this Note, together with interest and other amounts owing in respect thereof, to the date of acceleration shall become at the Holder's election given by notice pursuant to Section (5), immediately due and payable in cash; provided that, in the case of any event with respect to the Company described in Section (2)(a)(ii), the full unpaid Principal amount of this Note, together with interest and other amounts owing in respect thereof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Note in accordance with Section</w:t>
      </w:r>
    </w:p>
    <w:p>
      <w:pPr>
        <w:spacing w:after="0" w:line="1" w:lineRule="exact"/>
        <w:rPr>
          <w:sz w:val="20"/>
          <w:szCs w:val="20"/>
          <w:color w:val="auto"/>
        </w:rPr>
      </w:pPr>
    </w:p>
    <w:p>
      <w:pPr>
        <w:ind w:left="407" w:hanging="407"/>
        <w:spacing w:after="0"/>
        <w:tabs>
          <w:tab w:leader="none" w:pos="40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subject to the limitations set out in Section (3)(c)(i) and Section (3)(c)(ii)) at any time after (x) an Event of Default or</w:t>
      </w:r>
    </w:p>
    <w:p>
      <w:pPr>
        <w:spacing w:after="0" w:line="1" w:lineRule="exact"/>
        <w:rPr>
          <w:rFonts w:ascii="Times New Roman" w:cs="Times New Roman" w:eastAsia="Times New Roman" w:hAnsi="Times New Roman"/>
          <w:sz w:val="21"/>
          <w:szCs w:val="21"/>
          <w:color w:val="auto"/>
        </w:rPr>
      </w:pPr>
    </w:p>
    <w:p>
      <w:pPr>
        <w:jc w:val="both"/>
        <w:ind w:left="7"/>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the Maturity Date at the Conversion Price.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219" w:lineRule="exact"/>
        <w:rPr>
          <w:rFonts w:ascii="Times New Roman" w:cs="Times New Roman" w:eastAsia="Times New Roman" w:hAnsi="Times New Roman"/>
          <w:sz w:val="21"/>
          <w:szCs w:val="21"/>
          <w:color w:val="auto"/>
        </w:rPr>
      </w:pPr>
    </w:p>
    <w:p>
      <w:pPr>
        <w:ind w:left="7" w:right="480" w:firstLine="1490"/>
        <w:spacing w:after="0" w:line="258" w:lineRule="auto"/>
        <w:tabs>
          <w:tab w:leader="none" w:pos="193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NOTE</w:t>
      </w:r>
      <w:r>
        <w:rPr>
          <w:rFonts w:ascii="Times New Roman" w:cs="Times New Roman" w:eastAsia="Times New Roman" w:hAnsi="Times New Roman"/>
          <w:sz w:val="22"/>
          <w:szCs w:val="22"/>
          <w:color w:val="auto"/>
        </w:rPr>
        <w:t>. This Note shall be convertible into shares of the Company's Common Shares, on the terms and conditions set forth in this Section (3).</w:t>
      </w:r>
    </w:p>
    <w:p>
      <w:pPr>
        <w:spacing w:after="0" w:line="185" w:lineRule="exact"/>
        <w:rPr>
          <w:sz w:val="20"/>
          <w:szCs w:val="20"/>
          <w:color w:val="auto"/>
        </w:rPr>
      </w:pPr>
    </w:p>
    <w:p>
      <w:pPr>
        <w:jc w:val="both"/>
        <w:ind w:left="7" w:firstLine="2246"/>
        <w:spacing w:after="0" w:line="238"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Conversion Right</w:t>
      </w:r>
      <w:r>
        <w:rPr>
          <w:rFonts w:ascii="Times New Roman" w:cs="Times New Roman" w:eastAsia="Times New Roman" w:hAnsi="Times New Roman"/>
          <w:sz w:val="22"/>
          <w:szCs w:val="22"/>
          <w:color w:val="auto"/>
        </w:rPr>
        <w:t>.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w:t>
      </w:r>
    </w:p>
    <w:p>
      <w:pPr>
        <w:spacing w:after="0" w:line="42"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2"/>
          <w:szCs w:val="22"/>
          <w:color w:val="auto"/>
        </w:rPr>
        <w:t>shall not issue any fraction of a share of Common Shares upon any conversion. All calculations under this Section (3) shall be rounded to the nearest $0.0001. If the issuance would result in the issuance of a fraction of a share of Common Shares, the Company shall round such fraction of a share of Common Shares up or down to the nearest whole share. The Company shall pay any and all transfer, stamp and similar taxes that may be payable with respect to the issuance and delivery of Common Shares upon conversion of any Conversion Amount.</w:t>
      </w:r>
    </w:p>
    <w:p>
      <w:pPr>
        <w:spacing w:after="0" w:line="204" w:lineRule="exact"/>
        <w:rPr>
          <w:sz w:val="20"/>
          <w:szCs w:val="20"/>
          <w:color w:val="auto"/>
        </w:rPr>
      </w:pPr>
    </w:p>
    <w:p>
      <w:pPr>
        <w:ind w:left="2987" w:hanging="741"/>
        <w:spacing w:after="0"/>
        <w:tabs>
          <w:tab w:leader="none" w:pos="298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Conversion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7" w:firstLine="2988"/>
        <w:spacing w:after="0" w:line="235" w:lineRule="auto"/>
        <w:tabs>
          <w:tab w:leader="none" w:pos="346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To convert any Conversion Amount into Common Shares on any date (a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to the Company and (B) if required by Section (3)(b)(iii), surrender this Note to a nationally recognized overnight delivery service for delivery to the Company (or an indemnification undertaking reasonably satisfactory to the Company with respect to this Note in the case of its loss, theft or destruction). On or before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Trading Day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207010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314" w:right="459" w:bottom="1440" w:gutter="0" w:footer="0" w:header="0"/>
        </w:sectPr>
      </w:pPr>
    </w:p>
    <w:bookmarkStart w:id="170" w:name="page171"/>
    <w:bookmarkEnd w:id="170"/>
    <w:p>
      <w:pPr>
        <w:jc w:val="both"/>
        <w:ind w:left="9"/>
        <w:spacing w:after="0" w:line="244" w:lineRule="auto"/>
        <w:rPr>
          <w:sz w:val="20"/>
          <w:szCs w:val="20"/>
          <w:color w:val="auto"/>
        </w:rPr>
      </w:pPr>
      <w:r>
        <w:rPr>
          <w:rFonts w:ascii="Times New Roman" w:cs="Times New Roman" w:eastAsia="Times New Roman" w:hAnsi="Times New Roman"/>
          <w:sz w:val="21"/>
          <w:szCs w:val="21"/>
          <w:color w:val="auto"/>
        </w:rPr>
        <w:t>date of receipt of a Conversion Notice (the "</w:t>
      </w:r>
      <w:r>
        <w:rPr>
          <w:rFonts w:ascii="Times New Roman" w:cs="Times New Roman" w:eastAsia="Times New Roman" w:hAnsi="Times New Roman"/>
          <w:sz w:val="21"/>
          <w:szCs w:val="21"/>
          <w:u w:val="single" w:color="auto"/>
          <w:color w:val="auto"/>
        </w:rPr>
        <w:t>Share Delivery Date</w:t>
      </w:r>
      <w:r>
        <w:rPr>
          <w:rFonts w:ascii="Times New Roman" w:cs="Times New Roman" w:eastAsia="Times New Roman" w:hAnsi="Times New Roman"/>
          <w:sz w:val="21"/>
          <w:szCs w:val="21"/>
          <w:color w:val="auto"/>
        </w:rPr>
        <w:t>"), the Company shall (X) if legends are not required to be placed on certificates of Common Shares and provided that the Transfer Agent is participating in the Depository Trust Company's ("</w:t>
      </w:r>
      <w:r>
        <w:rPr>
          <w:rFonts w:ascii="Times New Roman" w:cs="Times New Roman" w:eastAsia="Times New Roman" w:hAnsi="Times New Roman"/>
          <w:sz w:val="21"/>
          <w:szCs w:val="21"/>
          <w:u w:val="single" w:color="auto"/>
          <w:color w:val="auto"/>
        </w:rPr>
        <w:t>DTC</w:t>
      </w:r>
      <w:r>
        <w:rPr>
          <w:rFonts w:ascii="Times New Roman" w:cs="Times New Roman" w:eastAsia="Times New Roman" w:hAnsi="Times New Roman"/>
          <w:sz w:val="21"/>
          <w:szCs w:val="21"/>
          <w:color w:val="auto"/>
        </w:rPr>
        <w:t>") Fast Automated Securities Transfer Program, credit such aggregate number of Common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in the name of the Holder or its designee, for the number of Common Shares to which the Holder shall be entitled which certificates shall not bear any restrictive legends unless required pursuant to rules and regulations of the Commission.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a new Note representing the outstanding Principal not converted. The Person or Persons entitled to receive the Common Shares issuable upon a conversion of this Note shall be treated for all purposes as the record holder or holders of such Common Shares upon the transmission of a Conversion Notice.</w:t>
      </w:r>
    </w:p>
    <w:p>
      <w:pPr>
        <w:spacing w:after="0" w:line="183" w:lineRule="exact"/>
        <w:rPr>
          <w:sz w:val="20"/>
          <w:szCs w:val="20"/>
          <w:color w:val="auto"/>
        </w:rPr>
      </w:pPr>
    </w:p>
    <w:p>
      <w:pPr>
        <w:jc w:val="both"/>
        <w:ind w:left="9" w:firstLine="2988"/>
        <w:spacing w:after="0" w:line="233" w:lineRule="auto"/>
        <w:tabs>
          <w:tab w:leader="none" w:pos="3463"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Failure to Timely Convert</w:t>
      </w:r>
      <w:r>
        <w:rPr>
          <w:rFonts w:ascii="Times New Roman" w:cs="Times New Roman" w:eastAsia="Times New Roman" w:hAnsi="Times New Roman"/>
          <w:sz w:val="22"/>
          <w:szCs w:val="22"/>
          <w:color w:val="auto"/>
        </w:rPr>
        <w:t>. If within three (3) Trading Days after the Company's receipt of an email copy of a Conversion Notice the Company shall fail to issue and deliver a certificate to the Holder or credit the Holder's balance account with DTC for the number of Common Shares to which the Holder is entitled upon such holder's conversion of any Conversion Amount (a "</w:t>
      </w:r>
      <w:r>
        <w:rPr>
          <w:rFonts w:ascii="Times New Roman" w:cs="Times New Roman" w:eastAsia="Times New Roman" w:hAnsi="Times New Roman"/>
          <w:sz w:val="22"/>
          <w:szCs w:val="22"/>
          <w:u w:val="single" w:color="auto"/>
          <w:color w:val="auto"/>
        </w:rPr>
        <w:t>Conversion Failure</w:t>
      </w:r>
      <w:r>
        <w:rPr>
          <w:rFonts w:ascii="Times New Roman" w:cs="Times New Roman" w:eastAsia="Times New Roman" w:hAnsi="Times New Roman"/>
          <w:sz w:val="22"/>
          <w:szCs w:val="22"/>
          <w:color w:val="auto"/>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then the Company shall, within three</w:t>
      </w:r>
    </w:p>
    <w:p>
      <w:pPr>
        <w:spacing w:after="0" w:line="5" w:lineRule="exact"/>
        <w:rPr>
          <w:rFonts w:ascii="Times New Roman" w:cs="Times New Roman" w:eastAsia="Times New Roman" w:hAnsi="Times New Roman"/>
          <w:sz w:val="22"/>
          <w:szCs w:val="22"/>
          <w:color w:val="auto"/>
        </w:rPr>
      </w:pPr>
    </w:p>
    <w:p>
      <w:pPr>
        <w:jc w:val="both"/>
        <w:ind w:left="9" w:hanging="9"/>
        <w:spacing w:after="0" w:line="234" w:lineRule="auto"/>
        <w:tabs>
          <w:tab w:leader="none" w:pos="31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at which point the Company's obligation to deliver such certificate (and to issue</w:t>
      </w:r>
    </w:p>
    <w:p>
      <w:pPr>
        <w:spacing w:after="0" w:line="42" w:lineRule="exact"/>
        <w:rPr>
          <w:sz w:val="20"/>
          <w:szCs w:val="20"/>
          <w:color w:val="auto"/>
        </w:rPr>
      </w:pPr>
    </w:p>
    <w:p>
      <w:pPr>
        <w:jc w:val="both"/>
        <w:ind w:left="9" w:right="20"/>
        <w:spacing w:after="0" w:line="244" w:lineRule="auto"/>
        <w:rPr>
          <w:sz w:val="20"/>
          <w:szCs w:val="20"/>
          <w:color w:val="auto"/>
        </w:rPr>
      </w:pPr>
      <w:r>
        <w:rPr>
          <w:rFonts w:ascii="Times New Roman" w:cs="Times New Roman" w:eastAsia="Times New Roman" w:hAnsi="Times New Roman"/>
          <w:sz w:val="22"/>
          <w:szCs w:val="22"/>
          <w:color w:val="auto"/>
        </w:rPr>
        <w:t>such Common Shares) shall terminate, or (ii) promptly honor its obligation to deliver to the Holder a certificate or certificates representing such Common Shares and pay cash to the Holder in an amount equal to the excess (if any) of the Buy-In Price over the product of (A) such number of Common Shares, times (B) the Closing Price on the Conversion Date.</w:t>
      </w:r>
    </w:p>
    <w:p>
      <w:pPr>
        <w:spacing w:after="0" w:line="200" w:lineRule="exact"/>
        <w:rPr>
          <w:sz w:val="20"/>
          <w:szCs w:val="20"/>
          <w:color w:val="auto"/>
        </w:rPr>
      </w:pPr>
    </w:p>
    <w:p>
      <w:pPr>
        <w:jc w:val="both"/>
        <w:ind w:left="9" w:firstLine="2988"/>
        <w:spacing w:after="0" w:line="235" w:lineRule="auto"/>
        <w:tabs>
          <w:tab w:leader="none" w:pos="3463"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Book-Entry</w:t>
      </w:r>
      <w:r>
        <w:rPr>
          <w:rFonts w:ascii="Times New Roman" w:cs="Times New Roman" w:eastAsia="Times New Roman" w:hAnsi="Times New Roman"/>
          <w:sz w:val="22"/>
          <w:szCs w:val="22"/>
          <w:color w:val="auto"/>
        </w:rPr>
        <w:t>. Notwithstanding anything to the contrary set forth herein, upon conversion of any portion of this Note in accordance with the terms hereof, the Holder shall not be required to physically surrender this Note to the Company unless (A) the full Conversion Amount represented by this Note is being converted or (B) the Holder has provided the Company with prior written notice (which notice may be included in a Conversion Notice) requesting reissuance of this Note upon physical surrender of this Note. The Holder and the Company shall maintain records showing the Principal and Interest converted and the dates of such conversions or shall use such other method, reasonably satisfactory to the Holder and the Company, so as not to require physical surrender of this Note upon conversion.</w:t>
      </w:r>
    </w:p>
    <w:p>
      <w:pPr>
        <w:spacing w:after="0" w:line="223" w:lineRule="exact"/>
        <w:rPr>
          <w:rFonts w:ascii="Times New Roman" w:cs="Times New Roman" w:eastAsia="Times New Roman" w:hAnsi="Times New Roman"/>
          <w:sz w:val="22"/>
          <w:szCs w:val="22"/>
          <w:color w:val="auto"/>
        </w:rPr>
      </w:pPr>
    </w:p>
    <w:p>
      <w:pPr>
        <w:ind w:left="2629" w:hanging="381"/>
        <w:spacing w:after="0"/>
        <w:tabs>
          <w:tab w:leader="none" w:pos="262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Conversions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9" w:firstLine="2988"/>
        <w:spacing w:after="0" w:line="239" w:lineRule="auto"/>
        <w:tabs>
          <w:tab w:leader="none" w:pos="346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The Holder shall not have the right to convert any portion of this Note to the extent that after giving effect to such conversion, the Holder, together with any affiliate thereof, would beneficially own (as determined in accordance with Section 13(d) of the Exchange Act and the rules promulgated thereunder) in excess of 9.99%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205105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1314" w:right="459" w:bottom="1440" w:gutter="0" w:footer="0" w:header="0"/>
        </w:sectPr>
      </w:pPr>
    </w:p>
    <w:bookmarkStart w:id="171" w:name="page172"/>
    <w:bookmarkEnd w:id="171"/>
    <w:p>
      <w:pPr>
        <w:jc w:val="both"/>
        <w:spacing w:after="0" w:line="243" w:lineRule="auto"/>
        <w:rPr>
          <w:sz w:val="20"/>
          <w:szCs w:val="20"/>
          <w:color w:val="auto"/>
        </w:rPr>
      </w:pPr>
      <w:r>
        <w:rPr>
          <w:rFonts w:ascii="Times New Roman" w:cs="Times New Roman" w:eastAsia="Times New Roman" w:hAnsi="Times New Roman"/>
          <w:sz w:val="21"/>
          <w:szCs w:val="21"/>
          <w:color w:val="auto"/>
        </w:rPr>
        <w:t>the number of Common Shares outstanding immediately after giving effect to such conversion or receipt of shares as payment of interest. Since the Holder will not be obligated to report to the Company the number of Common Shares it may hold at the time of a conversion hereunder, unless the conversion at issue would result in the issuance of Common Shares in excess of 9.99%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Note is convertible shall be the responsibility and obligation of the Holder. If the Holder has delivered a Conversion Notice for a Principal amount of this Note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w:t>
      </w:r>
    </w:p>
    <w:p>
      <w:pPr>
        <w:spacing w:after="0" w:line="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(3)(a) and, any Principal amount tendered for conversion in excess of the permitted amount hereunder shall remain outstanding under this Note. The provisions of this Section may be waived by a Holder (but only as to itself and not to any other Holder) upon not less than 65 days prior notice to the Company. Other Holders shall be unaffected by any such waiver.</w:t>
      </w:r>
    </w:p>
    <w:p>
      <w:pPr>
        <w:spacing w:after="0" w:line="169" w:lineRule="exact"/>
        <w:rPr>
          <w:sz w:val="20"/>
          <w:szCs w:val="20"/>
          <w:color w:val="auto"/>
        </w:rPr>
      </w:pPr>
    </w:p>
    <w:p>
      <w:pPr>
        <w:jc w:val="both"/>
        <w:ind w:firstLine="2988"/>
        <w:spacing w:after="0" w:line="236" w:lineRule="auto"/>
        <w:tabs>
          <w:tab w:leader="none" w:pos="345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Market Limitation</w:t>
      </w:r>
      <w:r>
        <w:rPr>
          <w:rFonts w:ascii="Times New Roman" w:cs="Times New Roman" w:eastAsia="Times New Roman" w:hAnsi="Times New Roman"/>
          <w:sz w:val="22"/>
          <w:szCs w:val="22"/>
          <w:color w:val="auto"/>
        </w:rPr>
        <w:t>. Notwithstanding anything in this Note to the contrary, the Company shall not issue any Common Shares upon conversion of this Note, if the issuance of such Common Shares, together with any Common Shares issued in connection the SEPA and with any other related transactions that may be considered part of the same series of transactions, would exceed the aggregate number Common Shares that the Company may issue in a transaction in compliance with the Company’s obligations under the rules or regulations of Nasdaq Stock Market LLC (the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and shall be referred to as the</w:t>
      </w:r>
    </w:p>
    <w:p>
      <w:pPr>
        <w:spacing w:after="0" w:line="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except that such limitation shall not apply if the Company’s stockholders have approved such issuances on such terms in excess of the Exchange Cap in accordance with the rules of the Nasdaq. Any failure by the Company to issue shares as a result of the limitations imposed by this Section 3(c) shall in no way be considered (i) a breach or default of any provision of this Note or (ii) an Event of Default.</w:t>
      </w:r>
    </w:p>
    <w:p>
      <w:pPr>
        <w:spacing w:after="0" w:line="207" w:lineRule="exact"/>
        <w:rPr>
          <w:sz w:val="20"/>
          <w:szCs w:val="20"/>
          <w:color w:val="auto"/>
        </w:rPr>
      </w:pPr>
    </w:p>
    <w:p>
      <w:pPr>
        <w:ind w:left="2620" w:hanging="381"/>
        <w:spacing w:after="0"/>
        <w:tabs>
          <w:tab w:leader="none" w:pos="2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3440" w:hanging="452"/>
        <w:spacing w:after="0"/>
        <w:tabs>
          <w:tab w:leader="none" w:pos="3440"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calculations under this Section (3) shall be rounded to the nearest $0.0001 or whole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w:t>
      </w:r>
    </w:p>
    <w:p>
      <w:pPr>
        <w:spacing w:after="0" w:line="223" w:lineRule="exact"/>
        <w:rPr>
          <w:sz w:val="20"/>
          <w:szCs w:val="20"/>
          <w:color w:val="auto"/>
        </w:rPr>
      </w:pPr>
    </w:p>
    <w:p>
      <w:pPr>
        <w:jc w:val="both"/>
        <w:ind w:firstLine="2988"/>
        <w:spacing w:after="0" w:line="234" w:lineRule="auto"/>
        <w:tabs>
          <w:tab w:leader="none" w:pos="345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this Note or any Other Notes remain outstanding, the Company shall have reserved from its duly authorized share capital, and shall have instructed its transfer agent to irrevocably reserve, the maximum number of Common Shares issuable upon conversion of this Note and the Other Notes (assuming for purposes hereof that (x) this Note and such Other Notes are convertible at the Floor Price as of the date of determination, (y) any such conversion shall not take into account any limitations on the conversion of the Note or Other Notes set forth herein or therein (the “</w:t>
      </w:r>
      <w:r>
        <w:rPr>
          <w:rFonts w:ascii="Times New Roman" w:cs="Times New Roman" w:eastAsia="Times New Roman" w:hAnsi="Times New Roman"/>
          <w:sz w:val="22"/>
          <w:szCs w:val="22"/>
          <w:u w:val="single" w:color="auto"/>
          <w:color w:val="auto"/>
        </w:rPr>
        <w:t>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Amount</w:t>
      </w:r>
      <w:r>
        <w:rPr>
          <w:rFonts w:ascii="Times New Roman" w:cs="Times New Roman" w:eastAsia="Times New Roman" w:hAnsi="Times New Roman"/>
          <w:sz w:val="22"/>
          <w:szCs w:val="22"/>
          <w:color w:val="auto"/>
        </w:rPr>
        <w:t>”), provided that at no time shall the number of Common Shares reserved pursuant to this Section (3)(d)(ii) be reduced other than proportionally with respect to all Common Shares in connection with any conversion (other than pursuant to the conversion of this Note and the Other Notes in accordance with their terms) and/or cancellation, or reverse stock split. The Company covenants that, upon issuance in accordance with conversion of this Note in accordance with its terms, the Common Shares, when issued,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341630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14" w:right="459" w:bottom="1440" w:gutter="0" w:footer="0" w:header="0"/>
        </w:sectPr>
      </w:pPr>
    </w:p>
    <w:bookmarkStart w:id="172" w:name="page173"/>
    <w:bookmarkEnd w:id="172"/>
    <w:p>
      <w:pPr>
        <w:jc w:val="both"/>
        <w:ind w:firstLine="2988"/>
        <w:spacing w:after="0" w:line="236" w:lineRule="auto"/>
        <w:tabs>
          <w:tab w:leader="none" w:pos="345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limit a Holder's right to pursue actual damages or declare an Event of Default pursuant to Section (2) herein for the Company’s failure to deliver certificates or issue book entries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221" w:lineRule="exact"/>
        <w:rPr>
          <w:rFonts w:ascii="Times New Roman" w:cs="Times New Roman" w:eastAsia="Times New Roman" w:hAnsi="Times New Roman"/>
          <w:sz w:val="22"/>
          <w:szCs w:val="22"/>
          <w:color w:val="auto"/>
        </w:rPr>
      </w:pPr>
    </w:p>
    <w:p>
      <w:pPr>
        <w:jc w:val="both"/>
        <w:ind w:firstLine="2988"/>
        <w:spacing w:after="0" w:line="235" w:lineRule="auto"/>
        <w:tabs>
          <w:tab w:leader="none" w:pos="345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To the extent that a legal opinion is not provided (either timely or at all), then, in addition to being an Event of Default hereunder, the Company agrees to reimburse the Holder for all reasonable costs incurred by the Holder in connection with any legal opinions paid for by the Holder in connection with sale or transfer of Underlying Common Shares. The Holder shall notify the Company of any such costs and expenses it incurs that are referred to in this section from time to time and all amounts owed hereunder shall be paid by the Company with reasonable promptness.</w:t>
      </w:r>
    </w:p>
    <w:p>
      <w:pPr>
        <w:spacing w:after="0" w:line="219" w:lineRule="exact"/>
        <w:rPr>
          <w:sz w:val="20"/>
          <w:szCs w:val="20"/>
          <w:color w:val="auto"/>
        </w:rPr>
      </w:pPr>
    </w:p>
    <w:p>
      <w:pPr>
        <w:ind w:right="460" w:firstLine="2246"/>
        <w:spacing w:after="0" w:line="258"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Adjustment of Conversion Price upon Subdivision or Combination of Common Shares</w:t>
      </w:r>
      <w:r>
        <w:rPr>
          <w:rFonts w:ascii="Times New Roman" w:cs="Times New Roman" w:eastAsia="Times New Roman" w:hAnsi="Times New Roman"/>
          <w:sz w:val="22"/>
          <w:szCs w:val="22"/>
          <w:color w:val="auto"/>
        </w:rPr>
        <w:t>. If the Company, at any time while this Note is outstanding, shall (a) pay a stock</w:t>
      </w:r>
    </w:p>
    <w:p>
      <w:pPr>
        <w:spacing w:after="0" w:line="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 or otherwise make a distribution or distributions on shares of its Common Shares or any other equity or equity equivalent securities payable in Common Shares, (b) subdivide outstanding Common Shares into a larger number of shares, (c) combine (including by way of reverse stock split) outstanding Common Shares into a smaller number of shares, or (d) issue by reclassification of Common Shares any shares of capital stock of the Company, then each of the Fixed Price and the Floor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3"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Other Corporate Events</w:t>
      </w:r>
      <w:r>
        <w:rPr>
          <w:rFonts w:ascii="Times New Roman" w:cs="Times New Roman" w:eastAsia="Times New Roman" w:hAnsi="Times New Roman"/>
          <w:sz w:val="22"/>
          <w:szCs w:val="22"/>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22"/>
          <w:szCs w:val="22"/>
          <w:u w:val="single" w:color="auto"/>
          <w:color w:val="auto"/>
        </w:rPr>
        <w:t>Corporate Event</w:t>
      </w:r>
      <w:r>
        <w:rPr>
          <w:rFonts w:ascii="Times New Roman" w:cs="Times New Roman" w:eastAsia="Times New Roman" w:hAnsi="Times New Roman"/>
          <w:sz w:val="22"/>
          <w:szCs w:val="22"/>
          <w:color w:val="auto"/>
        </w:rPr>
        <w:t>"), the Company shall make appropriate provision to ensure that the Holder will thereafter have the right to receive upon a conversion of this Note,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Note)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Note initially been issued with conversion rights for the form of such consideration (as opposed to Common Shares) at a conversion rate for such consideration commensurate with the Conversion Price. Provision made pursuant to the preceding sentence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207645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14" w:right="459" w:bottom="1440" w:gutter="0" w:footer="0" w:header="0"/>
        </w:sectPr>
      </w:pPr>
    </w:p>
    <w:bookmarkStart w:id="173" w:name="page174"/>
    <w:bookmarkEnd w:id="173"/>
    <w:p>
      <w:pPr>
        <w:jc w:val="both"/>
        <w:ind w:left="7"/>
        <w:spacing w:after="0" w:line="244" w:lineRule="auto"/>
        <w:rPr>
          <w:sz w:val="20"/>
          <w:szCs w:val="20"/>
          <w:color w:val="auto"/>
        </w:rPr>
      </w:pPr>
      <w:r>
        <w:rPr>
          <w:rFonts w:ascii="Times New Roman" w:cs="Times New Roman" w:eastAsia="Times New Roman" w:hAnsi="Times New Roman"/>
          <w:sz w:val="22"/>
          <w:szCs w:val="22"/>
          <w:color w:val="auto"/>
        </w:rPr>
        <w:t>be in a form and substance satisfactory to the Required Holders. The provisions of this Section shall apply similarly and equally to successive Corporate Events and shall be applied without regard to any limitations on the conversion or redemption of this Note.</w:t>
      </w:r>
    </w:p>
    <w:p>
      <w:pPr>
        <w:spacing w:after="0" w:line="214" w:lineRule="exact"/>
        <w:rPr>
          <w:sz w:val="20"/>
          <w:szCs w:val="20"/>
          <w:color w:val="auto"/>
        </w:rPr>
      </w:pPr>
    </w:p>
    <w:p>
      <w:pPr>
        <w:jc w:val="both"/>
        <w:ind w:left="7" w:firstLine="2246"/>
        <w:spacing w:after="0" w:line="244" w:lineRule="auto"/>
        <w:rPr>
          <w:sz w:val="20"/>
          <w:szCs w:val="20"/>
          <w:color w:val="auto"/>
        </w:rPr>
      </w:pPr>
      <w:r>
        <w:rPr>
          <w:rFonts w:ascii="Times New Roman" w:cs="Times New Roman" w:eastAsia="Times New Roman" w:hAnsi="Times New Roman"/>
          <w:sz w:val="22"/>
          <w:szCs w:val="22"/>
          <w:color w:val="auto"/>
        </w:rPr>
        <w:t>(g)Whenever the Conversion Price is adjusted pursuant to Section (3) hereof, the Company shall promptly provide the Holder with a written notice setting forth the Conversion Price after such adjustment and setting forth a brief statement of the facts requiring such adjustment.</w:t>
      </w:r>
    </w:p>
    <w:p>
      <w:pPr>
        <w:spacing w:after="0" w:line="173" w:lineRule="exact"/>
        <w:rPr>
          <w:sz w:val="20"/>
          <w:szCs w:val="20"/>
          <w:color w:val="auto"/>
        </w:rPr>
      </w:pPr>
    </w:p>
    <w:p>
      <w:pPr>
        <w:jc w:val="both"/>
        <w:ind w:left="7" w:firstLine="2246"/>
        <w:spacing w:after="0" w:line="249" w:lineRule="auto"/>
        <w:rPr>
          <w:sz w:val="20"/>
          <w:szCs w:val="20"/>
          <w:color w:val="auto"/>
        </w:rPr>
      </w:pPr>
      <w:r>
        <w:rPr>
          <w:rFonts w:ascii="Times New Roman" w:cs="Times New Roman" w:eastAsia="Times New Roman" w:hAnsi="Times New Roman"/>
          <w:sz w:val="21"/>
          <w:szCs w:val="21"/>
          <w:color w:val="auto"/>
        </w:rPr>
        <w:t>(h)In case of any (1) merger or consolidation of the Company or any Subsidiary of the Company with or into another Person not affiliated with the Company, or (2) sale by the Company or any Subsidiary of the Company of all or substantially all of the assets of the Company in one or a series of related transactions, a Holder shall have the right to</w:t>
      </w:r>
    </w:p>
    <w:p>
      <w:pPr>
        <w:spacing w:after="0" w:line="1" w:lineRule="exact"/>
        <w:rPr>
          <w:sz w:val="20"/>
          <w:szCs w:val="20"/>
          <w:color w:val="auto"/>
        </w:rPr>
      </w:pPr>
    </w:p>
    <w:p>
      <w:pPr>
        <w:jc w:val="both"/>
        <w:ind w:left="7" w:hanging="7"/>
        <w:spacing w:after="0" w:line="233" w:lineRule="auto"/>
        <w:tabs>
          <w:tab w:leader="none" w:pos="3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rights under Section (2)(a)(xii), (B) convert the aggregate amount of this Note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Note could have been converted immediately prior to such merger, consolidation or sales would have</w:t>
      </w:r>
    </w:p>
    <w:p>
      <w:pPr>
        <w:spacing w:after="0" w:line="31" w:lineRule="exact"/>
        <w:rPr>
          <w:sz w:val="20"/>
          <w:szCs w:val="20"/>
          <w:color w:val="auto"/>
        </w:rPr>
      </w:pPr>
    </w:p>
    <w:p>
      <w:pPr>
        <w:jc w:val="both"/>
        <w:ind w:left="7"/>
        <w:spacing w:after="0" w:line="233" w:lineRule="auto"/>
        <w:rPr>
          <w:sz w:val="20"/>
          <w:szCs w:val="20"/>
          <w:color w:val="auto"/>
        </w:rPr>
      </w:pPr>
      <w:r>
        <w:rPr>
          <w:rFonts w:ascii="Times New Roman" w:cs="Times New Roman" w:eastAsia="Times New Roman" w:hAnsi="Times New Roman"/>
          <w:sz w:val="22"/>
          <w:szCs w:val="22"/>
          <w:color w:val="auto"/>
        </w:rPr>
        <w:t>been entitled, or (C) in the case of a merger or consolidation, require the surviving entity to issue to the Holder a convertible Note with a Principal amount equal to the aggregate Principal amount of this Note then held by such Holder, plus all accrued and unpaid interest and other amounts owing thereon, which such newly issued convertible Note shall have terms identical (including with respect to conversion) to the terms of this Note, and shall be entitled to all of the rights and privileges of the Holder of this Note set forth herein and the agreements pursuant to which this Note was issued. In the case of clause (C), the conversion price applicable for the newly issued shares of convertible preferred stock or convertible debentures shall be based upon the amount of securities, cash and property that each Common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228" w:lineRule="exact"/>
        <w:rPr>
          <w:sz w:val="20"/>
          <w:szCs w:val="20"/>
          <w:color w:val="auto"/>
        </w:rPr>
      </w:pPr>
    </w:p>
    <w:p>
      <w:pPr>
        <w:ind w:left="2247" w:hanging="750"/>
        <w:spacing w:after="0"/>
        <w:tabs>
          <w:tab w:leader="none" w:pos="224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 THIS NOTE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7" w:firstLine="2246"/>
        <w:spacing w:after="0" w:line="253"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If this Note is to be transferred, the Holder shall surrender this Note to the Company, whereupon the Company will forthwith issue and deliver upon the order of the Holder a new Note (in accordance with Section</w:t>
      </w:r>
    </w:p>
    <w:p>
      <w:pPr>
        <w:spacing w:after="0" w:line="1" w:lineRule="exact"/>
        <w:rPr>
          <w:sz w:val="20"/>
          <w:szCs w:val="20"/>
          <w:color w:val="auto"/>
        </w:rPr>
      </w:pPr>
    </w:p>
    <w:p>
      <w:pPr>
        <w:jc w:val="both"/>
        <w:ind w:left="7"/>
        <w:spacing w:after="0" w:line="232" w:lineRule="auto"/>
        <w:rPr>
          <w:sz w:val="20"/>
          <w:szCs w:val="20"/>
          <w:color w:val="auto"/>
        </w:rPr>
      </w:pPr>
      <w:r>
        <w:rPr>
          <w:rFonts w:ascii="Times New Roman" w:cs="Times New Roman" w:eastAsia="Times New Roman" w:hAnsi="Times New Roman"/>
          <w:sz w:val="22"/>
          <w:szCs w:val="22"/>
          <w:color w:val="auto"/>
        </w:rPr>
        <w:t>(4)(d)), registered in the name of the registered transferee or assignee, representing the outstanding Principal being transferred by the Holder (along with any accrued and unpaid interest thereof) and, if less then the entire outstanding Principal is being transferred, a new Note (in accordance with Section (4)(d)) to the Holder representing the outstanding Principal not being transferred. The Holder and any assignee, by acceptance of this Note, acknowledge and agree that, by reason of the provisions of Section (3)(b)(iii) following conversion or redemption of any portion of this Note, the outstanding Principal represented by this Note may be less than the Principal stated on the face of this Note.</w:t>
      </w:r>
    </w:p>
    <w:p>
      <w:pPr>
        <w:spacing w:after="0" w:line="210" w:lineRule="exact"/>
        <w:rPr>
          <w:sz w:val="20"/>
          <w:szCs w:val="20"/>
          <w:color w:val="auto"/>
        </w:rPr>
      </w:pPr>
    </w:p>
    <w:p>
      <w:pPr>
        <w:jc w:val="both"/>
        <w:ind w:left="7" w:firstLine="2246"/>
        <w:spacing w:after="0" w:line="239"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Lost, Stolen or Mutilated Note</w:t>
      </w:r>
      <w:r>
        <w:rPr>
          <w:rFonts w:ascii="Times New Roman" w:cs="Times New Roman" w:eastAsia="Times New Roman" w:hAnsi="Times New Roman"/>
          <w:sz w:val="22"/>
          <w:szCs w:val="22"/>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213360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395" w:right="459" w:bottom="1440" w:gutter="0" w:footer="0" w:header="0"/>
        </w:sectPr>
      </w:pPr>
    </w:p>
    <w:bookmarkStart w:id="174" w:name="page175"/>
    <w:bookmarkEnd w:id="174"/>
    <w:p>
      <w:pPr>
        <w:jc w:val="both"/>
        <w:ind w:left="120"/>
        <w:spacing w:after="0" w:line="258" w:lineRule="auto"/>
        <w:rPr>
          <w:sz w:val="20"/>
          <w:szCs w:val="20"/>
          <w:color w:val="auto"/>
        </w:rPr>
      </w:pPr>
      <w:r>
        <w:rPr>
          <w:rFonts w:ascii="Times New Roman" w:cs="Times New Roman" w:eastAsia="Times New Roman" w:hAnsi="Times New Roman"/>
          <w:sz w:val="22"/>
          <w:szCs w:val="22"/>
          <w:color w:val="auto"/>
        </w:rPr>
        <w:t>of this Note, the Company shall execute and deliver to the Holder a new Note (in accordance with Section (4)(d)) representing the outstanding Principal.</w:t>
      </w:r>
    </w:p>
    <w:p>
      <w:pPr>
        <w:spacing w:after="0" w:line="199" w:lineRule="exact"/>
        <w:rPr>
          <w:sz w:val="20"/>
          <w:szCs w:val="20"/>
          <w:color w:val="auto"/>
        </w:rPr>
      </w:pPr>
    </w:p>
    <w:p>
      <w:pPr>
        <w:jc w:val="both"/>
        <w:ind w:left="120" w:firstLine="2246"/>
        <w:spacing w:after="0" w:line="239"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Note Exchangeable for Different Denominations</w:t>
      </w:r>
      <w:r>
        <w:rPr>
          <w:rFonts w:ascii="Times New Roman" w:cs="Times New Roman" w:eastAsia="Times New Roman" w:hAnsi="Times New Roman"/>
          <w:sz w:val="22"/>
          <w:szCs w:val="22"/>
          <w:color w:val="auto"/>
        </w:rPr>
        <w:t>. This Note is exchangeable, upon the surrender hereof by the Holder at the principal office of the Company, for a new Note or Notes (in accordance with Section (4)(d)) representing in the aggregate the outstanding Principal of this Note, and each such new Note will represent such portion of such outstanding Principal as is designated by the Holder at the time of such surrender.</w:t>
      </w:r>
    </w:p>
    <w:p>
      <w:pPr>
        <w:spacing w:after="0" w:line="221" w:lineRule="exact"/>
        <w:rPr>
          <w:sz w:val="20"/>
          <w:szCs w:val="20"/>
          <w:color w:val="auto"/>
        </w:rPr>
      </w:pPr>
    </w:p>
    <w:p>
      <w:pPr>
        <w:jc w:val="both"/>
        <w:ind w:left="120" w:firstLine="2246"/>
        <w:spacing w:after="0" w:line="241"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Issuance of New Notes</w:t>
      </w:r>
      <w:r>
        <w:rPr>
          <w:rFonts w:ascii="Times New Roman" w:cs="Times New Roman" w:eastAsia="Times New Roman" w:hAnsi="Times New Roman"/>
          <w:sz w:val="22"/>
          <w:szCs w:val="22"/>
          <w:color w:val="auto"/>
        </w:rPr>
        <w:t>. Whenever the Company is required to issue a new Note pursuant to the terms hereof, such new Note (i) shall be of like tenor with this Note,</w:t>
      </w:r>
    </w:p>
    <w:p>
      <w:pPr>
        <w:spacing w:after="0" w:line="2" w:lineRule="exact"/>
        <w:rPr>
          <w:sz w:val="20"/>
          <w:szCs w:val="20"/>
          <w:color w:val="auto"/>
        </w:rPr>
      </w:pPr>
    </w:p>
    <w:p>
      <w:pPr>
        <w:jc w:val="both"/>
        <w:ind w:left="120" w:hanging="9"/>
        <w:spacing w:after="0" w:line="234" w:lineRule="auto"/>
        <w:tabs>
          <w:tab w:leader="none" w:pos="45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represent, as indicated on the face of such new Note, the Principal remaining outstanding (or in the case of a new Note being issued pursuant to Section 5(4)(a) or Section 5(4)(c), the Principal designated by the Holder which, when added to the Principal represented by the other new Note issued in connection with such issuance, does not exceed the Principal remaining</w:t>
      </w:r>
    </w:p>
    <w:p>
      <w:pPr>
        <w:spacing w:after="0" w:line="2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2"/>
          <w:szCs w:val="22"/>
          <w:color w:val="auto"/>
        </w:rPr>
        <w:t>outstanding under this Note immediately prior to such issuance of new Note), (iii) shall have an issuance date, as indicated on the face of such new Note, which is the same as the Issuance Date of this Note, (iv) shall have the same rights and conditions as this Note, and (v) shall represent accrued and unpaid Interest from the Issuance Date.</w:t>
      </w:r>
    </w:p>
    <w:p>
      <w:pPr>
        <w:spacing w:after="0" w:line="214" w:lineRule="exact"/>
        <w:rPr>
          <w:sz w:val="20"/>
          <w:szCs w:val="20"/>
          <w:color w:val="auto"/>
        </w:rPr>
      </w:pPr>
    </w:p>
    <w:p>
      <w:pPr>
        <w:jc w:val="both"/>
        <w:ind w:left="120" w:firstLine="1490"/>
        <w:spacing w:after="0" w:line="238" w:lineRule="auto"/>
        <w:tabs>
          <w:tab w:leader="none" w:pos="204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pacing w:after="0" w:line="200" w:lineRule="exact"/>
        <w:rPr>
          <w:sz w:val="20"/>
          <w:szCs w:val="20"/>
          <w:color w:val="auto"/>
        </w:rPr>
      </w:pPr>
    </w:p>
    <w:p>
      <w:pPr>
        <w:spacing w:after="0" w:line="220" w:lineRule="exact"/>
        <w:rPr>
          <w:sz w:val="20"/>
          <w:szCs w:val="20"/>
          <w:color w:val="auto"/>
        </w:rPr>
      </w:pPr>
    </w:p>
    <w:p>
      <w:pPr>
        <w:ind w:left="220"/>
        <w:spacing w:after="0"/>
        <w:tabs>
          <w:tab w:leader="none" w:pos="2360" w:val="left"/>
        </w:tabs>
        <w:rPr>
          <w:sz w:val="20"/>
          <w:szCs w:val="20"/>
          <w:color w:val="auto"/>
        </w:rPr>
      </w:pPr>
      <w:r>
        <w:rPr>
          <w:rFonts w:ascii="Times New Roman" w:cs="Times New Roman" w:eastAsia="Times New Roman" w:hAnsi="Times New Roman"/>
          <w:sz w:val="22"/>
          <w:szCs w:val="22"/>
          <w:color w:val="auto"/>
        </w:rPr>
        <w:t>If to the Company, to:</w:t>
      </w:r>
      <w:r>
        <w:rPr>
          <w:sz w:val="20"/>
          <w:szCs w:val="20"/>
          <w:color w:val="auto"/>
        </w:rPr>
        <w:tab/>
      </w:r>
      <w:r>
        <w:rPr>
          <w:rFonts w:ascii="Times New Roman" w:cs="Times New Roman" w:eastAsia="Times New Roman" w:hAnsi="Times New Roman"/>
          <w:sz w:val="21"/>
          <w:szCs w:val="21"/>
          <w:color w:val="auto"/>
        </w:rPr>
        <w:t>Banzai International, Inc.</w:t>
      </w:r>
    </w:p>
    <w:p>
      <w:pPr>
        <w:spacing w:after="0" w:line="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435 Ericksen Ave., Suite 250 Bainbridge Island,</w:t>
      </w:r>
    </w:p>
    <w:p>
      <w:pPr>
        <w:ind w:left="4000"/>
        <w:spacing w:after="0"/>
        <w:rPr>
          <w:sz w:val="20"/>
          <w:szCs w:val="20"/>
          <w:color w:val="auto"/>
        </w:rPr>
      </w:pPr>
      <w:r>
        <w:rPr>
          <w:rFonts w:ascii="Times New Roman" w:cs="Times New Roman" w:eastAsia="Times New Roman" w:hAnsi="Times New Roman"/>
          <w:sz w:val="22"/>
          <w:szCs w:val="22"/>
          <w:color w:val="auto"/>
        </w:rPr>
        <w:t>WA 98110 Attn: Joseph Davy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Sidley Austin LLP 787 7th Ave</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New York, NY 10019</w:t>
      </w:r>
    </w:p>
    <w:p>
      <w:pPr>
        <w:spacing w:after="0"/>
        <w:rPr>
          <w:sz w:val="20"/>
          <w:szCs w:val="20"/>
          <w:color w:val="auto"/>
        </w:rPr>
      </w:pPr>
      <w:r>
        <w:rPr>
          <w:rFonts w:ascii="Times New Roman" w:cs="Times New Roman" w:eastAsia="Times New Roman" w:hAnsi="Times New Roman"/>
          <w:sz w:val="22"/>
          <w:szCs w:val="22"/>
          <w:color w:val="auto"/>
        </w:rPr>
        <w:t>Attention: Michael P. Heinz; Joshua G. DuClos</w:t>
      </w:r>
    </w:p>
    <w:p>
      <w:pPr>
        <w:spacing w:after="0" w:line="290" w:lineRule="exact"/>
        <w:rPr>
          <w:sz w:val="20"/>
          <w:szCs w:val="20"/>
          <w:color w:val="auto"/>
        </w:rPr>
      </w:pPr>
    </w:p>
    <w:p>
      <w:pPr>
        <w:ind w:left="220"/>
        <w:spacing w:after="0"/>
        <w:tabs>
          <w:tab w:leader="none" w:pos="1940" w:val="left"/>
        </w:tabs>
        <w:rPr>
          <w:sz w:val="20"/>
          <w:szCs w:val="20"/>
          <w:color w:val="auto"/>
        </w:rPr>
      </w:pPr>
      <w:r>
        <w:rPr>
          <w:rFonts w:ascii="Times New Roman" w:cs="Times New Roman" w:eastAsia="Times New Roman" w:hAnsi="Times New Roman"/>
          <w:sz w:val="22"/>
          <w:szCs w:val="22"/>
          <w:color w:val="auto"/>
        </w:rPr>
        <w:t>If to the Holder:</w:t>
      </w:r>
      <w:r>
        <w:rPr>
          <w:sz w:val="20"/>
          <w:szCs w:val="20"/>
          <w:color w:val="auto"/>
        </w:rPr>
        <w:tab/>
      </w:r>
      <w:r>
        <w:rPr>
          <w:rFonts w:ascii="Times New Roman" w:cs="Times New Roman" w:eastAsia="Times New Roman" w:hAnsi="Times New Roman"/>
          <w:sz w:val="21"/>
          <w:szCs w:val="21"/>
          <w:color w:val="auto"/>
        </w:rPr>
        <w:t>YA II PN, Ltd</w:t>
      </w:r>
    </w:p>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c/o Yorkville Advisors Global, LLC Attention:</w:t>
      </w:r>
    </w:p>
    <w:p>
      <w:pPr>
        <w:spacing w:after="0" w:line="200" w:lineRule="exact"/>
        <w:rPr>
          <w:sz w:val="20"/>
          <w:szCs w:val="20"/>
          <w:color w:val="auto"/>
        </w:rPr>
      </w:pPr>
    </w:p>
    <w:p>
      <w:pPr>
        <w:spacing w:after="0" w:line="239" w:lineRule="exact"/>
        <w:rPr>
          <w:sz w:val="20"/>
          <w:szCs w:val="20"/>
          <w:color w:val="auto"/>
        </w:rPr>
      </w:pPr>
    </w:p>
    <w:p>
      <w:pPr>
        <w:jc w:val="both"/>
        <w:ind w:left="120"/>
        <w:spacing w:after="0" w:line="236" w:lineRule="auto"/>
        <w:rPr>
          <w:sz w:val="20"/>
          <w:szCs w:val="20"/>
          <w:color w:val="auto"/>
        </w:rPr>
      </w:pPr>
      <w:r>
        <w:rPr>
          <w:rFonts w:ascii="Times New Roman" w:cs="Times New Roman" w:eastAsia="Times New Roman" w:hAnsi="Times New Roman"/>
          <w:sz w:val="22"/>
          <w:szCs w:val="22"/>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facsimile or receipt from a nationally recognized overnight delivery service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14" w:right="459" w:bottom="1440" w:gutter="0" w:footer="0" w:header="0"/>
        </w:sectPr>
      </w:pPr>
    </w:p>
    <w:bookmarkStart w:id="175" w:name="page176"/>
    <w:bookmarkEnd w:id="175"/>
    <w:p>
      <w:pPr>
        <w:spacing w:after="0" w:line="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clause (i), (ii) or (iii) above, respectively.</w:t>
      </w:r>
    </w:p>
    <w:p>
      <w:pPr>
        <w:spacing w:after="0" w:line="58" w:lineRule="exact"/>
        <w:rPr>
          <w:sz w:val="20"/>
          <w:szCs w:val="20"/>
          <w:color w:val="auto"/>
        </w:rPr>
      </w:pPr>
    </w:p>
    <w:p>
      <w:pPr>
        <w:jc w:val="both"/>
        <w:ind w:left="7" w:firstLine="1490"/>
        <w:spacing w:after="0" w:line="246" w:lineRule="auto"/>
        <w:tabs>
          <w:tab w:leader="none" w:pos="1934"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provided herein, no provision of this Note shall alter or impair the obligations of the Company, which are absolute and unconditional, to pay the Principal of, interest and other charges (if any) on, this Note at the time, place, and rate, and in the currency, herein prescribed. This Note is a direct obligation of the Company. As long as this Note is outstanding, the Company shall not and shall cause their subsidiaries not to, without the consent of the Holder, (i) amend its certificate of incorporation, bylaws or other charter documents so as to adversely affect any rights of the Holder; or</w:t>
      </w:r>
    </w:p>
    <w:p>
      <w:pPr>
        <w:spacing w:after="0" w:line="1" w:lineRule="exact"/>
        <w:rPr>
          <w:rFonts w:ascii="Times New Roman" w:cs="Times New Roman" w:eastAsia="Times New Roman" w:hAnsi="Times New Roman"/>
          <w:sz w:val="21"/>
          <w:szCs w:val="21"/>
          <w:color w:val="auto"/>
        </w:rPr>
      </w:pPr>
    </w:p>
    <w:p>
      <w:pPr>
        <w:jc w:val="both"/>
        <w:ind w:left="7" w:hanging="7"/>
        <w:spacing w:after="0" w:line="235" w:lineRule="auto"/>
        <w:tabs>
          <w:tab w:leader="none" w:pos="33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agreement, arrangement or transaction in or of which the terms thereof would materially restrict, materially delay, conflict with or materially impair the ability of the Company to perform its obligations under the this Note, including, without limitation, the obligation of the Company to make cash payments hereunder.</w:t>
      </w:r>
    </w:p>
    <w:p>
      <w:pPr>
        <w:spacing w:after="0" w:line="218" w:lineRule="exact"/>
        <w:rPr>
          <w:rFonts w:ascii="Times New Roman" w:cs="Times New Roman" w:eastAsia="Times New Roman" w:hAnsi="Times New Roman"/>
          <w:sz w:val="22"/>
          <w:szCs w:val="22"/>
          <w:color w:val="auto"/>
        </w:rPr>
      </w:pPr>
    </w:p>
    <w:p>
      <w:pPr>
        <w:jc w:val="both"/>
        <w:ind w:left="7" w:firstLine="1490"/>
        <w:spacing w:after="0" w:line="239" w:lineRule="auto"/>
        <w:tabs>
          <w:tab w:leader="none" w:pos="193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Note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207" w:lineRule="exact"/>
        <w:rPr>
          <w:rFonts w:ascii="Times New Roman" w:cs="Times New Roman" w:eastAsia="Times New Roman" w:hAnsi="Times New Roman"/>
          <w:sz w:val="22"/>
          <w:szCs w:val="22"/>
          <w:color w:val="auto"/>
        </w:rPr>
      </w:pPr>
    </w:p>
    <w:p>
      <w:pPr>
        <w:ind w:left="2247" w:hanging="750"/>
        <w:spacing w:after="0"/>
        <w:tabs>
          <w:tab w:leader="none" w:pos="224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VENUE; WAIVER OF JURY TRIAL</w:t>
      </w:r>
    </w:p>
    <w:p>
      <w:pPr>
        <w:spacing w:after="0" w:line="247" w:lineRule="exact"/>
        <w:rPr>
          <w:sz w:val="20"/>
          <w:szCs w:val="20"/>
          <w:color w:val="auto"/>
        </w:rPr>
      </w:pPr>
    </w:p>
    <w:p>
      <w:pPr>
        <w:jc w:val="both"/>
        <w:ind w:left="7" w:firstLine="2246"/>
        <w:spacing w:after="0" w:line="239"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Note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22"/>
          <w:szCs w:val="22"/>
          <w:u w:val="single" w:color="auto"/>
          <w:color w:val="auto"/>
        </w:rPr>
        <w:t>Governing Jurisdiction</w:t>
      </w:r>
      <w:r>
        <w:rPr>
          <w:rFonts w:ascii="Times New Roman" w:cs="Times New Roman" w:eastAsia="Times New Roman" w:hAnsi="Times New Roman"/>
          <w:sz w:val="22"/>
          <w:szCs w:val="22"/>
          <w:color w:val="auto"/>
        </w:rPr>
        <w:t>”) (including Section 5-1401 and Section 5-1402 of the General Obligations Law of the State of New York), including all matters of construction, validity and performance.</w:t>
      </w:r>
    </w:p>
    <w:p>
      <w:pPr>
        <w:spacing w:after="0" w:line="221" w:lineRule="exact"/>
        <w:rPr>
          <w:sz w:val="20"/>
          <w:szCs w:val="20"/>
          <w:color w:val="auto"/>
        </w:rPr>
      </w:pPr>
    </w:p>
    <w:p>
      <w:pPr>
        <w:ind w:left="2627" w:hanging="381"/>
        <w:spacing w:after="0"/>
        <w:tabs>
          <w:tab w:leader="none" w:pos="262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Venue; Service.</w:t>
      </w:r>
    </w:p>
    <w:p>
      <w:pPr>
        <w:spacing w:after="0" w:line="233" w:lineRule="exact"/>
        <w:rPr>
          <w:rFonts w:ascii="Times New Roman" w:cs="Times New Roman" w:eastAsia="Times New Roman" w:hAnsi="Times New Roman"/>
          <w:sz w:val="22"/>
          <w:szCs w:val="22"/>
          <w:color w:val="auto"/>
        </w:rPr>
      </w:pPr>
    </w:p>
    <w:p>
      <w:pPr>
        <w:jc w:val="both"/>
        <w:ind w:left="7" w:firstLine="2988"/>
        <w:spacing w:after="0" w:line="244" w:lineRule="auto"/>
        <w:tabs>
          <w:tab w:leader="none" w:pos="346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irrevocably consents to the non- exclusive personal jurisdiction of the state courts of the Governing Jurisdiction and, if a basis for federal jurisdiction exists, the non-exclusive personal jurisdiction of any United States District Court for the Governing Jurisdiction.</w:t>
      </w:r>
    </w:p>
    <w:p>
      <w:pPr>
        <w:spacing w:after="0" w:line="213" w:lineRule="exact"/>
        <w:rPr>
          <w:rFonts w:ascii="Times New Roman" w:cs="Times New Roman" w:eastAsia="Times New Roman" w:hAnsi="Times New Roman"/>
          <w:sz w:val="22"/>
          <w:szCs w:val="22"/>
          <w:color w:val="auto"/>
        </w:rPr>
      </w:pPr>
    </w:p>
    <w:p>
      <w:pPr>
        <w:jc w:val="both"/>
        <w:ind w:left="7" w:firstLine="2988"/>
        <w:spacing w:after="0" w:line="238" w:lineRule="auto"/>
        <w:tabs>
          <w:tab w:leader="none" w:pos="346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selected by the Holder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76" w:lineRule="exact"/>
        <w:rPr>
          <w:rFonts w:ascii="Times New Roman" w:cs="Times New Roman" w:eastAsia="Times New Roman" w:hAnsi="Times New Roman"/>
          <w:sz w:val="22"/>
          <w:szCs w:val="22"/>
          <w:color w:val="auto"/>
        </w:rPr>
      </w:pPr>
    </w:p>
    <w:p>
      <w:pPr>
        <w:jc w:val="both"/>
        <w:ind w:left="7" w:firstLine="2988"/>
        <w:spacing w:after="0" w:line="236" w:lineRule="auto"/>
        <w:tabs>
          <w:tab w:leader="none" w:pos="346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suit, claim, action, litigation or proceeding of any kind or description, whether in law or equity, whether in contract or tort or otherwise, brought by the Company against the Holder arising out of or based upon this Note or any matter relating to this Note,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w:t>
      </w:r>
    </w:p>
    <w:p>
      <w:pPr>
        <w:spacing w:after="0" w:line="46" w:lineRule="exact"/>
        <w:rPr>
          <w:sz w:val="20"/>
          <w:szCs w:val="20"/>
          <w:color w:val="auto"/>
        </w:rPr>
      </w:pPr>
    </w:p>
    <w:p>
      <w:pPr>
        <w:ind w:left="7"/>
        <w:spacing w:after="0" w:line="258" w:lineRule="auto"/>
        <w:rPr>
          <w:sz w:val="20"/>
          <w:szCs w:val="20"/>
          <w:color w:val="auto"/>
        </w:rPr>
      </w:pPr>
      <w:r>
        <w:rPr>
          <w:rFonts w:ascii="Times New Roman" w:cs="Times New Roman" w:eastAsia="Times New Roman" w:hAnsi="Times New Roman"/>
          <w:sz w:val="22"/>
          <w:szCs w:val="22"/>
          <w:color w:val="auto"/>
        </w:rPr>
        <w:t>in which the Holder brought such suit, claim, action, litigation or proceeding the counterclaim is mandatory, and not permissive, and would be considered waived unless filed as a counterclaim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191135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40" w:right="459" w:bottom="1440" w:gutter="0" w:footer="0" w:header="0"/>
        </w:sectPr>
      </w:pPr>
    </w:p>
    <w:bookmarkStart w:id="176" w:name="page177"/>
    <w:bookmarkEnd w:id="176"/>
    <w:p>
      <w:pPr>
        <w:jc w:val="both"/>
        <w:ind w:left="7"/>
        <w:spacing w:after="0" w:line="244" w:lineRule="auto"/>
        <w:rPr>
          <w:sz w:val="20"/>
          <w:szCs w:val="20"/>
          <w:color w:val="auto"/>
        </w:rPr>
      </w:pPr>
      <w:r>
        <w:rPr>
          <w:rFonts w:ascii="Times New Roman" w:cs="Times New Roman" w:eastAsia="Times New Roman" w:hAnsi="Times New Roman"/>
          <w:sz w:val="21"/>
          <w:szCs w:val="21"/>
          <w:color w:val="auto"/>
        </w:rPr>
        <w:t>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Note or any matter relating to this Note,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210" w:lineRule="exact"/>
        <w:rPr>
          <w:sz w:val="20"/>
          <w:szCs w:val="20"/>
          <w:color w:val="auto"/>
        </w:rPr>
      </w:pPr>
    </w:p>
    <w:p>
      <w:pPr>
        <w:jc w:val="both"/>
        <w:ind w:left="7" w:firstLine="2988"/>
        <w:spacing w:after="0" w:line="239" w:lineRule="auto"/>
        <w:tabs>
          <w:tab w:leader="none" w:pos="346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Holder irrevocably consent to the service of process out of any of the aforementioned courts in any such suit, claim, action, litigation or proceeding by the mailing of copies thereof by registered or certified mail postage prepaid, to it at the address provided for notices in this Note, such service to become effective thirty (30) days after the date of mailing.</w:t>
      </w:r>
    </w:p>
    <w:p>
      <w:pPr>
        <w:spacing w:after="0" w:line="180" w:lineRule="exact"/>
        <w:rPr>
          <w:rFonts w:ascii="Times New Roman" w:cs="Times New Roman" w:eastAsia="Times New Roman" w:hAnsi="Times New Roman"/>
          <w:sz w:val="22"/>
          <w:szCs w:val="22"/>
          <w:color w:val="auto"/>
        </w:rPr>
      </w:pPr>
    </w:p>
    <w:p>
      <w:pPr>
        <w:jc w:val="both"/>
        <w:ind w:left="7" w:right="20" w:firstLine="2988"/>
        <w:spacing w:after="0" w:line="244" w:lineRule="auto"/>
        <w:tabs>
          <w:tab w:leader="none" w:pos="346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73" w:lineRule="exact"/>
        <w:rPr>
          <w:sz w:val="20"/>
          <w:szCs w:val="20"/>
          <w:color w:val="auto"/>
        </w:rPr>
      </w:pPr>
    </w:p>
    <w:p>
      <w:pPr>
        <w:jc w:val="both"/>
        <w:ind w:left="7" w:firstLine="2246"/>
        <w:spacing w:after="0" w:line="235" w:lineRule="auto"/>
        <w:rPr>
          <w:sz w:val="20"/>
          <w:szCs w:val="20"/>
          <w:color w:val="auto"/>
        </w:rPr>
      </w:pPr>
      <w:r>
        <w:rPr>
          <w:rFonts w:ascii="Times New Roman" w:cs="Times New Roman" w:eastAsia="Times New Roman" w:hAnsi="Times New Roman"/>
          <w:sz w:val="22"/>
          <w:szCs w:val="22"/>
          <w:color w:val="auto"/>
        </w:rPr>
        <w:t>(c)THE PARTIES MUTUALLY WAIVE ALL RIGHT TO TRIAL BY JURY OF ALL CLAIMS OF ANY KIND ARISING OUT OF OR BASED UPON THIS NOTE OR ANY MATTER RELATING TO THIS NOTE,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224" w:lineRule="exact"/>
        <w:rPr>
          <w:sz w:val="20"/>
          <w:szCs w:val="20"/>
          <w:color w:val="auto"/>
        </w:rPr>
      </w:pPr>
    </w:p>
    <w:p>
      <w:pPr>
        <w:jc w:val="both"/>
        <w:ind w:left="7" w:firstLine="1490"/>
        <w:spacing w:after="0" w:line="247" w:lineRule="auto"/>
        <w:tabs>
          <w:tab w:leader="none" w:pos="1934"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fails to materially comply with the terms of this Note, then the Company shall reimburse the Holder promptly for all fees, costs and expenses, including, without limitation, attorneys’ fees and expenses incurred by the Holder in any action in connection with this Note, including, without limitation, those incurred: (i) during any workout, attempted workout, and/or in connection with the rendering of legal advice as to the Holder’s rights, remedies and obligations,</w:t>
      </w:r>
    </w:p>
    <w:p>
      <w:pPr>
        <w:spacing w:after="0" w:line="1" w:lineRule="exact"/>
        <w:rPr>
          <w:rFonts w:ascii="Times New Roman" w:cs="Times New Roman" w:eastAsia="Times New Roman" w:hAnsi="Times New Roman"/>
          <w:sz w:val="21"/>
          <w:szCs w:val="21"/>
          <w:color w:val="auto"/>
        </w:rPr>
      </w:pPr>
    </w:p>
    <w:p>
      <w:pPr>
        <w:ind w:left="327" w:hanging="327"/>
        <w:spacing w:after="0"/>
        <w:tabs>
          <w:tab w:leader="none" w:pos="32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collecting any sums which become due to the Holder, (iii) defending or</w:t>
      </w:r>
    </w:p>
    <w:p>
      <w:pPr>
        <w:spacing w:after="0" w:line="34" w:lineRule="exact"/>
        <w:rPr>
          <w:sz w:val="20"/>
          <w:szCs w:val="20"/>
          <w:color w:val="auto"/>
        </w:rPr>
      </w:pPr>
    </w:p>
    <w:p>
      <w:pPr>
        <w:jc w:val="both"/>
        <w:ind w:left="7"/>
        <w:spacing w:after="0" w:line="244" w:lineRule="auto"/>
        <w:rPr>
          <w:sz w:val="20"/>
          <w:szCs w:val="20"/>
          <w:color w:val="auto"/>
        </w:rPr>
      </w:pPr>
      <w:r>
        <w:rPr>
          <w:rFonts w:ascii="Times New Roman" w:cs="Times New Roman" w:eastAsia="Times New Roman" w:hAnsi="Times New Roman"/>
          <w:sz w:val="22"/>
          <w:szCs w:val="22"/>
          <w:color w:val="auto"/>
        </w:rPr>
        <w:t>prosecuting any proceeding or any counterclaim to any proceeding or appeal; or (iv) the protection, preservation or enforcement of any rights or remedies of the Holder provided that Holder shall not have been responsible in any way for the Company’s noncompliance.</w:t>
      </w:r>
    </w:p>
    <w:p>
      <w:pPr>
        <w:spacing w:after="0" w:line="214" w:lineRule="exact"/>
        <w:rPr>
          <w:sz w:val="20"/>
          <w:szCs w:val="20"/>
          <w:color w:val="auto"/>
        </w:rPr>
      </w:pPr>
    </w:p>
    <w:p>
      <w:pPr>
        <w:ind w:left="7" w:firstLine="1490"/>
        <w:spacing w:after="0" w:line="258" w:lineRule="auto"/>
        <w:tabs>
          <w:tab w:leader="none" w:pos="193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waiver by the Holder of a breach of any provision of this Note shall not operate as or be construed to be a waiver of any other breach of such provision or of any breach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191135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395" w:right="459" w:bottom="1440" w:gutter="0" w:footer="0" w:header="0"/>
        </w:sectPr>
      </w:pPr>
    </w:p>
    <w:bookmarkStart w:id="177" w:name="page178"/>
    <w:bookmarkEnd w:id="177"/>
    <w:p>
      <w:pPr>
        <w:jc w:val="both"/>
        <w:spacing w:after="0" w:line="244" w:lineRule="auto"/>
        <w:rPr>
          <w:sz w:val="20"/>
          <w:szCs w:val="20"/>
          <w:color w:val="auto"/>
        </w:rPr>
      </w:pPr>
      <w:r>
        <w:rPr>
          <w:rFonts w:ascii="Times New Roman" w:cs="Times New Roman" w:eastAsia="Times New Roman" w:hAnsi="Times New Roman"/>
          <w:sz w:val="22"/>
          <w:szCs w:val="22"/>
          <w:color w:val="auto"/>
        </w:rPr>
        <w:t>any other provision of this Note. The failure of the Holder to insist upon strict adherence to any term of this Note on one or more occasions shall not be considered a waiver or deprive that party of the right thereafter to insist upon strict adherence to that term or any other term of this Note. Any waiver must be in writing.</w:t>
      </w:r>
    </w:p>
    <w:p>
      <w:pPr>
        <w:spacing w:after="0" w:line="214" w:lineRule="exact"/>
        <w:rPr>
          <w:sz w:val="20"/>
          <w:szCs w:val="20"/>
          <w:color w:val="auto"/>
        </w:rPr>
      </w:pPr>
    </w:p>
    <w:p>
      <w:pPr>
        <w:jc w:val="both"/>
        <w:ind w:firstLine="1490"/>
        <w:spacing w:after="0" w:line="233" w:lineRule="auto"/>
        <w:tabs>
          <w:tab w:leader="none" w:pos="192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184"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xml:space="preserve"> For purposes of this Note, the following terms shall have the following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223"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u w:val="single" w:color="auto"/>
          <w:color w:val="auto"/>
        </w:rPr>
        <w:t>Amortization Event</w:t>
      </w:r>
      <w:r>
        <w:rPr>
          <w:rFonts w:ascii="Times New Roman" w:cs="Times New Roman" w:eastAsia="Times New Roman" w:hAnsi="Times New Roman"/>
          <w:sz w:val="22"/>
          <w:szCs w:val="22"/>
          <w:color w:val="auto"/>
        </w:rPr>
        <w:t>” shall mean (i) the daily VWAP is less than the Floor Price then in effect for five Trading Days during a period of seven consecutive Trading Days (a “</w:t>
      </w:r>
      <w:r>
        <w:rPr>
          <w:rFonts w:ascii="Times New Roman" w:cs="Times New Roman" w:eastAsia="Times New Roman" w:hAnsi="Times New Roman"/>
          <w:sz w:val="22"/>
          <w:szCs w:val="22"/>
          <w:u w:val="single" w:color="auto"/>
          <w:color w:val="auto"/>
        </w:rPr>
        <w:t>Floor Price Event</w:t>
      </w:r>
      <w:r>
        <w:rPr>
          <w:rFonts w:ascii="Times New Roman" w:cs="Times New Roman" w:eastAsia="Times New Roman" w:hAnsi="Times New Roman"/>
          <w:sz w:val="22"/>
          <w:szCs w:val="22"/>
          <w:color w:val="auto"/>
        </w:rPr>
        <w:t>”), or (ii) unless the Company has obtained the approval from its stockholders in accordance with the rules of the Principal Market for the issuance of Shares pursuant to the transactions contemplated in this Note and the SEPA in excess of the Exchange Cap, the Company has issued in excess of 99% of the Common Shares available under the Exchange Cap (an “</w:t>
      </w:r>
      <w:r>
        <w:rPr>
          <w:rFonts w:ascii="Times New Roman" w:cs="Times New Roman" w:eastAsia="Times New Roman" w:hAnsi="Times New Roman"/>
          <w:sz w:val="22"/>
          <w:szCs w:val="22"/>
          <w:u w:val="single" w:color="auto"/>
          <w:color w:val="auto"/>
        </w:rPr>
        <w:t>Exchange Cap Event</w:t>
      </w:r>
      <w:r>
        <w:rPr>
          <w:rFonts w:ascii="Times New Roman" w:cs="Times New Roman" w:eastAsia="Times New Roman" w:hAnsi="Times New Roman"/>
          <w:sz w:val="22"/>
          <w:szCs w:val="22"/>
          <w:color w:val="auto"/>
        </w:rPr>
        <w:t>”), or (iii) the Company is in material breach of the Registration Rights Agreement, and such breach remains uncured for a period of 5 Trading Days, or the occurrence of an Event (as defined in the Registration Rights Agreement) (a “</w:t>
      </w:r>
      <w:r>
        <w:rPr>
          <w:rFonts w:ascii="Times New Roman" w:cs="Times New Roman" w:eastAsia="Times New Roman" w:hAnsi="Times New Roman"/>
          <w:sz w:val="22"/>
          <w:szCs w:val="22"/>
          <w:u w:val="single" w:color="auto"/>
          <w:color w:val="auto"/>
        </w:rPr>
        <w:t>Registration Event</w:t>
      </w:r>
      <w:r>
        <w:rPr>
          <w:rFonts w:ascii="Times New Roman" w:cs="Times New Roman" w:eastAsia="Times New Roman" w:hAnsi="Times New Roman"/>
          <w:sz w:val="22"/>
          <w:szCs w:val="22"/>
          <w:color w:val="auto"/>
        </w:rPr>
        <w:t>”) (the last such day of each such occurrence, a “</w:t>
      </w:r>
      <w:r>
        <w:rPr>
          <w:rFonts w:ascii="Times New Roman" w:cs="Times New Roman" w:eastAsia="Times New Roman" w:hAnsi="Times New Roman"/>
          <w:sz w:val="22"/>
          <w:szCs w:val="22"/>
          <w:u w:val="single" w:color="auto"/>
          <w:color w:val="auto"/>
        </w:rPr>
        <w:t>Amortization Event Date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2980" w:hanging="741"/>
        <w:spacing w:after="0"/>
        <w:tabs>
          <w:tab w:leader="none" w:pos="29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Principal Amount</w:t>
      </w:r>
      <w:r>
        <w:rPr>
          <w:rFonts w:ascii="Times New Roman" w:cs="Times New Roman" w:eastAsia="Times New Roman" w:hAnsi="Times New Roman"/>
          <w:sz w:val="22"/>
          <w:szCs w:val="22"/>
          <w:color w:val="auto"/>
        </w:rPr>
        <w:t>” shall have the meaning set forth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Section (1)(c).</w:t>
      </w:r>
    </w:p>
    <w:p>
      <w:pPr>
        <w:spacing w:after="0" w:line="223" w:lineRule="exact"/>
        <w:rPr>
          <w:sz w:val="20"/>
          <w:szCs w:val="20"/>
          <w:color w:val="auto"/>
        </w:rPr>
      </w:pPr>
    </w:p>
    <w:p>
      <w:pPr>
        <w:ind w:left="2980" w:hanging="741"/>
        <w:spacing w:after="0"/>
        <w:tabs>
          <w:tab w:leader="none" w:pos="29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Price</w:t>
      </w:r>
      <w:r>
        <w:rPr>
          <w:rFonts w:ascii="Times New Roman" w:cs="Times New Roman" w:eastAsia="Times New Roman" w:hAnsi="Times New Roman"/>
          <w:sz w:val="22"/>
          <w:szCs w:val="22"/>
          <w:color w:val="auto"/>
        </w:rPr>
        <w:t>" shall have the meaning set forth in Section 3(f)</w:t>
      </w:r>
      <w:r>
        <w:rPr>
          <w:rFonts w:ascii="Times New Roman" w:cs="Times New Roman" w:eastAsia="Times New Roman" w:hAnsi="Times New Roman"/>
          <w:sz w:val="19"/>
          <w:szCs w:val="19"/>
          <w:color w:val="auto"/>
        </w:rPr>
        <w:t>.</w:t>
      </w:r>
    </w:p>
    <w:p>
      <w:pPr>
        <w:spacing w:after="0" w:line="57" w:lineRule="exact"/>
        <w:rPr>
          <w:rFonts w:ascii="Times New Roman" w:cs="Times New Roman" w:eastAsia="Times New Roman" w:hAnsi="Times New Roman"/>
          <w:sz w:val="22"/>
          <w:szCs w:val="22"/>
          <w:color w:val="auto"/>
        </w:rPr>
      </w:pPr>
    </w:p>
    <w:p>
      <w:pPr>
        <w:ind w:left="2980" w:hanging="741"/>
        <w:spacing w:after="0"/>
        <w:tabs>
          <w:tab w:leader="none" w:pos="29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means Bloomberg Financial Markets.</w:t>
      </w:r>
    </w:p>
    <w:p>
      <w:pPr>
        <w:spacing w:after="0" w:line="24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214" w:lineRule="exact"/>
        <w:rPr>
          <w:sz w:val="20"/>
          <w:szCs w:val="20"/>
          <w:color w:val="auto"/>
        </w:rPr>
      </w:pPr>
    </w:p>
    <w:p>
      <w:pPr>
        <w:ind w:left="2980" w:hanging="741"/>
        <w:spacing w:after="0"/>
        <w:tabs>
          <w:tab w:leader="none" w:pos="29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shall have the meaning set forth in Section (3)(b)(ii).</w:t>
      </w:r>
    </w:p>
    <w:p>
      <w:pPr>
        <w:spacing w:after="0" w:line="233" w:lineRule="exact"/>
        <w:rPr>
          <w:rFonts w:ascii="Times New Roman" w:cs="Times New Roman" w:eastAsia="Times New Roman" w:hAnsi="Times New Roman"/>
          <w:sz w:val="22"/>
          <w:szCs w:val="22"/>
          <w:color w:val="auto"/>
        </w:rPr>
      </w:pPr>
    </w:p>
    <w:p>
      <w:pPr>
        <w:ind w:left="2980" w:hanging="741"/>
        <w:spacing w:after="0"/>
        <w:tabs>
          <w:tab w:leader="none" w:pos="29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shall have the meaning set forth in Section (3)(b)(ii).</w:t>
      </w:r>
    </w:p>
    <w:p>
      <w:pPr>
        <w:spacing w:after="0" w:line="246" w:lineRule="exact"/>
        <w:rPr>
          <w:rFonts w:ascii="Times New Roman" w:cs="Times New Roman" w:eastAsia="Times New Roman" w:hAnsi="Times New Roman"/>
          <w:sz w:val="22"/>
          <w:szCs w:val="22"/>
          <w:color w:val="auto"/>
        </w:rPr>
      </w:pPr>
    </w:p>
    <w:p>
      <w:pPr>
        <w:ind w:left="2980" w:hanging="741"/>
        <w:spacing w:after="0"/>
        <w:tabs>
          <w:tab w:leader="none" w:pos="29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Month</w:t>
      </w:r>
      <w:r>
        <w:rPr>
          <w:rFonts w:ascii="Times New Roman" w:cs="Times New Roman" w:eastAsia="Times New Roman" w:hAnsi="Times New Roman"/>
          <w:sz w:val="22"/>
          <w:szCs w:val="22"/>
          <w:color w:val="auto"/>
        </w:rPr>
        <w:t>” means one of the months as named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205740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14" w:right="459" w:bottom="1440" w:gutter="0" w:footer="0" w:header="0"/>
        </w:sectPr>
      </w:pPr>
    </w:p>
    <w:bookmarkStart w:id="178" w:name="page179"/>
    <w:bookmarkEnd w:id="178"/>
    <w:p>
      <w:pPr>
        <w:spacing w:after="0" w:line="131" w:lineRule="exact"/>
        <w:rPr>
          <w:sz w:val="20"/>
          <w:szCs w:val="20"/>
          <w:color w:val="auto"/>
        </w:rPr>
      </w:pPr>
    </w:p>
    <w:p>
      <w:pPr>
        <w:ind w:left="2989" w:hanging="741"/>
        <w:spacing w:after="0"/>
        <w:tabs>
          <w:tab w:leader="none" w:pos="298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Transaction</w:t>
      </w:r>
      <w:r>
        <w:rPr>
          <w:rFonts w:ascii="Times New Roman" w:cs="Times New Roman" w:eastAsia="Times New Roman" w:hAnsi="Times New Roman"/>
          <w:sz w:val="22"/>
          <w:szCs w:val="22"/>
          <w:color w:val="auto"/>
        </w:rPr>
        <w:t>” means the occurrence of (a) an</w:t>
      </w:r>
    </w:p>
    <w:p>
      <w:pPr>
        <w:spacing w:after="0" w:line="14" w:lineRule="exact"/>
        <w:rPr>
          <w:sz w:val="20"/>
          <w:szCs w:val="20"/>
          <w:color w:val="auto"/>
        </w:rPr>
      </w:pPr>
    </w:p>
    <w:p>
      <w:pPr>
        <w:jc w:val="both"/>
        <w:ind w:left="9"/>
        <w:spacing w:after="0" w:line="241" w:lineRule="auto"/>
        <w:rPr>
          <w:sz w:val="20"/>
          <w:szCs w:val="20"/>
          <w:color w:val="auto"/>
        </w:rPr>
      </w:pPr>
      <w:r>
        <w:rPr>
          <w:rFonts w:ascii="Times New Roman" w:cs="Times New Roman" w:eastAsia="Times New Roman" w:hAnsi="Times New Roman"/>
          <w:sz w:val="21"/>
          <w:szCs w:val="21"/>
          <w:color w:val="auto"/>
        </w:rPr>
        <w:t>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board of directors of the Company (other than as due to the death or disability of a member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w:t>
      </w:r>
    </w:p>
    <w:p>
      <w:pPr>
        <w:spacing w:after="0" w:line="5" w:lineRule="exact"/>
        <w:rPr>
          <w:sz w:val="20"/>
          <w:szCs w:val="20"/>
          <w:color w:val="auto"/>
        </w:rPr>
      </w:pPr>
    </w:p>
    <w:p>
      <w:pPr>
        <w:jc w:val="both"/>
        <w:ind w:left="9" w:hanging="9"/>
        <w:spacing w:after="0" w:line="234" w:lineRule="auto"/>
        <w:tabs>
          <w:tab w:leader="none" w:pos="32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w:t>
      </w:r>
    </w:p>
    <w:p>
      <w:pPr>
        <w:spacing w:after="0" w:line="218" w:lineRule="exact"/>
        <w:rPr>
          <w:sz w:val="20"/>
          <w:szCs w:val="20"/>
          <w:color w:val="auto"/>
        </w:rPr>
      </w:pPr>
    </w:p>
    <w:p>
      <w:pPr>
        <w:ind w:left="9" w:firstLine="2246"/>
        <w:spacing w:after="0" w:line="258" w:lineRule="auto"/>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u w:val="single" w:color="auto"/>
          <w:color w:val="auto"/>
        </w:rPr>
        <w:t>Closing Price</w:t>
      </w:r>
      <w:r>
        <w:rPr>
          <w:rFonts w:ascii="Times New Roman" w:cs="Times New Roman" w:eastAsia="Times New Roman" w:hAnsi="Times New Roman"/>
          <w:sz w:val="22"/>
          <w:szCs w:val="22"/>
          <w:color w:val="auto"/>
        </w:rPr>
        <w:t>” means the price per share in the last reported trade of the Common Shares on a Primary Market or on the exchange which the Common Shares are then listed as quoted by Bloomberg.</w:t>
      </w:r>
    </w:p>
    <w:p>
      <w:pPr>
        <w:spacing w:after="0" w:line="185" w:lineRule="exact"/>
        <w:rPr>
          <w:sz w:val="20"/>
          <w:szCs w:val="20"/>
          <w:color w:val="auto"/>
        </w:rPr>
      </w:pPr>
    </w:p>
    <w:p>
      <w:pPr>
        <w:ind w:left="2989" w:hanging="741"/>
        <w:spacing w:after="0"/>
        <w:tabs>
          <w:tab w:leader="none" w:pos="298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Securities and Exchange Commission.</w:t>
      </w:r>
    </w:p>
    <w:p>
      <w:pPr>
        <w:spacing w:after="0" w:line="247" w:lineRule="exact"/>
        <w:rPr>
          <w:sz w:val="20"/>
          <w:szCs w:val="20"/>
          <w:color w:val="auto"/>
        </w:rPr>
      </w:pPr>
    </w:p>
    <w:p>
      <w:pPr>
        <w:ind w:left="9" w:firstLine="2246"/>
        <w:spacing w:after="0" w:line="258" w:lineRule="auto"/>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means the shares of Class A common stock, par value $0.0001, of the Company and stock of any other class into which such shares may hereafter be changed or reclassified.</w:t>
      </w:r>
    </w:p>
    <w:p>
      <w:pPr>
        <w:spacing w:after="0" w:line="199" w:lineRule="exact"/>
        <w:rPr>
          <w:sz w:val="20"/>
          <w:szCs w:val="20"/>
          <w:color w:val="auto"/>
        </w:rPr>
      </w:pPr>
    </w:p>
    <w:p>
      <w:pPr>
        <w:ind w:left="9" w:firstLine="2246"/>
        <w:spacing w:after="0" w:line="258"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Conversion Amount</w:t>
      </w:r>
      <w:r>
        <w:rPr>
          <w:rFonts w:ascii="Times New Roman" w:cs="Times New Roman" w:eastAsia="Times New Roman" w:hAnsi="Times New Roman"/>
          <w:sz w:val="22"/>
          <w:szCs w:val="22"/>
          <w:color w:val="auto"/>
        </w:rPr>
        <w:t>” means the portion of the Principal, Interest, or other amounts outstanding under this Note to be converted, redeemed or otherwise with respect to which this determination is being made.</w:t>
      </w:r>
    </w:p>
    <w:p>
      <w:pPr>
        <w:spacing w:after="0" w:line="185" w:lineRule="exact"/>
        <w:rPr>
          <w:sz w:val="20"/>
          <w:szCs w:val="20"/>
          <w:color w:val="auto"/>
        </w:rPr>
      </w:pPr>
    </w:p>
    <w:p>
      <w:pPr>
        <w:ind w:left="2989" w:hanging="741"/>
        <w:spacing w:after="0"/>
        <w:tabs>
          <w:tab w:leader="none" w:pos="298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shall have the meaning set forth in Section</w:t>
      </w:r>
    </w:p>
    <w:p>
      <w:pPr>
        <w:spacing w:after="0" w:line="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(3)(b)(i).</w:t>
      </w:r>
    </w:p>
    <w:p>
      <w:pPr>
        <w:spacing w:after="0" w:line="29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(3)(b)(ii).</w:t>
      </w:r>
    </w:p>
    <w:p>
      <w:pPr>
        <w:spacing w:after="0" w:line="200" w:lineRule="exact"/>
        <w:rPr>
          <w:sz w:val="20"/>
          <w:szCs w:val="20"/>
          <w:color w:val="auto"/>
        </w:rPr>
      </w:pPr>
    </w:p>
    <w:p>
      <w:pPr>
        <w:spacing w:after="0" w:line="263"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(3)(b)(i).</w:t>
      </w:r>
    </w:p>
    <w:p>
      <w:pPr>
        <w:spacing w:after="0" w:line="58"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401320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1440" w:right="459" w:bottom="1440" w:gutter="0" w:footer="0" w:header="0"/>
        </w:sectPr>
      </w:pPr>
    </w:p>
    <w:bookmarkStart w:id="179" w:name="page180"/>
    <w:bookmarkEnd w:id="179"/>
    <w:p>
      <w:pPr>
        <w:ind w:left="7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Failure</w:t>
      </w:r>
      <w:r>
        <w:rPr>
          <w:rFonts w:ascii="Times New Roman" w:cs="Times New Roman" w:eastAsia="Times New Roman" w:hAnsi="Times New Roman"/>
          <w:sz w:val="22"/>
          <w:szCs w:val="22"/>
          <w:color w:val="auto"/>
        </w:rPr>
        <w:t>" shall have the meaning set forth in Section</w:t>
      </w:r>
    </w:p>
    <w:p>
      <w:pPr>
        <w:spacing w:after="0" w:line="200" w:lineRule="exact"/>
        <w:rPr>
          <w:sz w:val="20"/>
          <w:szCs w:val="20"/>
          <w:color w:val="auto"/>
        </w:rPr>
      </w:pPr>
    </w:p>
    <w:p>
      <w:pPr>
        <w:spacing w:after="0" w:line="249" w:lineRule="exact"/>
        <w:rPr>
          <w:sz w:val="20"/>
          <w:szCs w:val="20"/>
          <w:color w:val="auto"/>
        </w:rPr>
      </w:pPr>
    </w:p>
    <w:p>
      <w:pPr>
        <w:ind w:left="747" w:hanging="747"/>
        <w:spacing w:after="0"/>
        <w:tabs>
          <w:tab w:leader="none" w:pos="74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shall have the meaning set forth in Section</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747" w:hanging="747"/>
        <w:spacing w:after="0"/>
        <w:tabs>
          <w:tab w:leader="none" w:pos="74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means, as of any Conversion Date or other date</w:t>
      </w:r>
    </w:p>
    <w:p>
      <w:pPr>
        <w:spacing w:after="0" w:line="14"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2"/>
          <w:szCs w:val="22"/>
          <w:color w:val="auto"/>
        </w:rPr>
        <w:t>of determination the lower of (i) $2.0766 per Common Share (the “</w:t>
      </w:r>
      <w:r>
        <w:rPr>
          <w:rFonts w:ascii="Times New Roman" w:cs="Times New Roman" w:eastAsia="Times New Roman" w:hAnsi="Times New Roman"/>
          <w:sz w:val="22"/>
          <w:szCs w:val="22"/>
          <w:u w:val="single" w:color="auto"/>
          <w:color w:val="auto"/>
        </w:rPr>
        <w:t>Fixed Price</w:t>
      </w:r>
      <w:r>
        <w:rPr>
          <w:rFonts w:ascii="Times New Roman" w:cs="Times New Roman" w:eastAsia="Times New Roman" w:hAnsi="Times New Roman"/>
          <w:sz w:val="22"/>
          <w:szCs w:val="22"/>
          <w:color w:val="auto"/>
        </w:rPr>
        <w:t>”), or (ii) 90% of the lowest daily VWAP during the 10 consecutive Trading Days immediately preceding the Conversion Date or other date of determination (the “</w:t>
      </w:r>
      <w:r>
        <w:rPr>
          <w:rFonts w:ascii="Times New Roman" w:cs="Times New Roman" w:eastAsia="Times New Roman" w:hAnsi="Times New Roman"/>
          <w:sz w:val="22"/>
          <w:szCs w:val="22"/>
          <w:u w:val="single" w:color="auto"/>
          <w:color w:val="auto"/>
        </w:rPr>
        <w:t>Variable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but which Variable Price shall not be lower than the Floor Price then in effect. The Conversion Price shall be adjusted from time to time pursuant to the other terms and conditions of this Note.</w:t>
      </w:r>
    </w:p>
    <w:p>
      <w:pPr>
        <w:spacing w:after="0" w:line="204" w:lineRule="exact"/>
        <w:rPr>
          <w:sz w:val="20"/>
          <w:szCs w:val="20"/>
          <w:color w:val="auto"/>
        </w:rPr>
      </w:pPr>
    </w:p>
    <w:p>
      <w:pPr>
        <w:ind w:left="7" w:right="360" w:firstLine="2246"/>
        <w:spacing w:after="0" w:line="258" w:lineRule="auto"/>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22"/>
          <w:szCs w:val="22"/>
          <w:u w:val="single" w:color="auto"/>
          <w:color w:val="auto"/>
        </w:rPr>
        <w:t>Convertible Securities</w:t>
      </w:r>
      <w:r>
        <w:rPr>
          <w:rFonts w:ascii="Times New Roman" w:cs="Times New Roman" w:eastAsia="Times New Roman" w:hAnsi="Times New Roman"/>
          <w:sz w:val="22"/>
          <w:szCs w:val="22"/>
          <w:color w:val="auto"/>
        </w:rPr>
        <w:t>” means any stock or securities directly or indirectly convertible into or exercisable or exchangeable for Common Shares.</w:t>
      </w:r>
    </w:p>
    <w:p>
      <w:pPr>
        <w:spacing w:after="0" w:line="199" w:lineRule="exact"/>
        <w:rPr>
          <w:sz w:val="20"/>
          <w:szCs w:val="20"/>
          <w:color w:val="auto"/>
        </w:rPr>
      </w:pPr>
    </w:p>
    <w:p>
      <w:pPr>
        <w:ind w:left="2987" w:hanging="741"/>
        <w:spacing w:after="0"/>
        <w:tabs>
          <w:tab w:leader="none" w:pos="298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Dilutive Issuance</w:t>
      </w:r>
      <w:r>
        <w:rPr>
          <w:rFonts w:ascii="Times New Roman" w:cs="Times New Roman" w:eastAsia="Times New Roman" w:hAnsi="Times New Roman"/>
          <w:sz w:val="22"/>
          <w:szCs w:val="22"/>
          <w:color w:val="auto"/>
        </w:rPr>
        <w:t>" shall have the meaning set forth in Section 3(f)</w:t>
      </w:r>
      <w:r>
        <w:rPr>
          <w:rFonts w:ascii="Times New Roman" w:cs="Times New Roman" w:eastAsia="Times New Roman" w:hAnsi="Times New Roman"/>
          <w:sz w:val="19"/>
          <w:szCs w:val="19"/>
          <w:color w:val="auto"/>
        </w:rPr>
        <w:t>.</w:t>
      </w:r>
    </w:p>
    <w:p>
      <w:pPr>
        <w:spacing w:after="0" w:line="246" w:lineRule="exact"/>
        <w:rPr>
          <w:rFonts w:ascii="Times New Roman" w:cs="Times New Roman" w:eastAsia="Times New Roman" w:hAnsi="Times New Roman"/>
          <w:sz w:val="22"/>
          <w:szCs w:val="22"/>
          <w:color w:val="auto"/>
        </w:rPr>
      </w:pPr>
    </w:p>
    <w:p>
      <w:pPr>
        <w:ind w:left="2987" w:hanging="741"/>
        <w:spacing w:after="0"/>
        <w:tabs>
          <w:tab w:leader="none" w:pos="298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w:t>
      </w:r>
    </w:p>
    <w:p>
      <w:pPr>
        <w:spacing w:after="0" w:line="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amended.</w:t>
      </w:r>
    </w:p>
    <w:p>
      <w:pPr>
        <w:spacing w:after="0" w:line="209" w:lineRule="exact"/>
        <w:rPr>
          <w:sz w:val="20"/>
          <w:szCs w:val="20"/>
          <w:color w:val="auto"/>
        </w:rPr>
      </w:pPr>
    </w:p>
    <w:p>
      <w:pPr>
        <w:ind w:left="2987" w:hanging="741"/>
        <w:spacing w:after="0"/>
        <w:tabs>
          <w:tab w:leader="none" w:pos="2987"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 Price</w:t>
      </w:r>
      <w:r>
        <w:rPr>
          <w:rFonts w:ascii="Times New Roman" w:cs="Times New Roman" w:eastAsia="Times New Roman" w:hAnsi="Times New Roman"/>
          <w:sz w:val="22"/>
          <w:szCs w:val="22"/>
          <w:color w:val="auto"/>
        </w:rPr>
        <w:t>” solely with respect to the Variable Price, shall mean</w:t>
      </w:r>
    </w:p>
    <w:p>
      <w:pPr>
        <w:spacing w:after="0" w:line="14" w:lineRule="exact"/>
        <w:rPr>
          <w:sz w:val="20"/>
          <w:szCs w:val="20"/>
          <w:color w:val="auto"/>
        </w:rPr>
      </w:pPr>
    </w:p>
    <w:p>
      <w:pPr>
        <w:jc w:val="both"/>
        <w:ind w:left="7"/>
        <w:spacing w:after="0" w:line="235" w:lineRule="auto"/>
        <w:rPr>
          <w:sz w:val="20"/>
          <w:szCs w:val="20"/>
          <w:color w:val="auto"/>
        </w:rPr>
      </w:pPr>
      <w:r>
        <w:rPr>
          <w:rFonts w:ascii="Times New Roman" w:cs="Times New Roman" w:eastAsia="Times New Roman" w:hAnsi="Times New Roman"/>
          <w:sz w:val="22"/>
          <w:szCs w:val="22"/>
          <w:color w:val="auto"/>
        </w:rPr>
        <w:t>$0.294 per Common Share. Notwithstanding the foregoing, the Company may reduce the Floor Price to any amounts set forth in a written notice to the Holder; provided that such amount is no more than 75% of the closing price on the Trading Day immediately prior to the time of such reduction and no greater than the initial Floor Price.</w:t>
      </w:r>
    </w:p>
    <w:p>
      <w:pPr>
        <w:spacing w:after="0" w:line="214" w:lineRule="exact"/>
        <w:rPr>
          <w:sz w:val="20"/>
          <w:szCs w:val="20"/>
          <w:color w:val="auto"/>
        </w:rPr>
      </w:pPr>
    </w:p>
    <w:p>
      <w:pPr>
        <w:jc w:val="both"/>
        <w:ind w:left="7" w:firstLine="2246"/>
        <w:spacing w:after="0" w:line="235"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82" w:lineRule="exact"/>
        <w:rPr>
          <w:sz w:val="20"/>
          <w:szCs w:val="20"/>
          <w:color w:val="auto"/>
        </w:rPr>
      </w:pPr>
    </w:p>
    <w:p>
      <w:pPr>
        <w:ind w:left="2987" w:hanging="741"/>
        <w:spacing w:after="0"/>
        <w:tabs>
          <w:tab w:leader="none" w:pos="298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Issuance Price</w:t>
      </w:r>
      <w:r>
        <w:rPr>
          <w:rFonts w:ascii="Times New Roman" w:cs="Times New Roman" w:eastAsia="Times New Roman" w:hAnsi="Times New Roman"/>
          <w:sz w:val="22"/>
          <w:szCs w:val="22"/>
          <w:color w:val="auto"/>
        </w:rPr>
        <w:t>" shall have the meaning set forth in Section 3(f)</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ind w:left="7" w:firstLine="2246"/>
        <w:spacing w:after="0" w:line="258" w:lineRule="auto"/>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2"/>
          <w:szCs w:val="22"/>
          <w:u w:val="single" w:color="auto"/>
          <w:color w:val="auto"/>
        </w:rPr>
        <w:t>Other Notes</w:t>
      </w:r>
      <w:r>
        <w:rPr>
          <w:rFonts w:ascii="Times New Roman" w:cs="Times New Roman" w:eastAsia="Times New Roman" w:hAnsi="Times New Roman"/>
          <w:sz w:val="22"/>
          <w:szCs w:val="22"/>
          <w:color w:val="auto"/>
        </w:rPr>
        <w:t>” means any other notes issued pursuant to the SEPA and any other debentures, notes, or other instruments issued in exchange, replacement, or modification of the foregoing.</w:t>
      </w:r>
    </w:p>
    <w:p>
      <w:pPr>
        <w:spacing w:after="0" w:line="185" w:lineRule="exact"/>
        <w:rPr>
          <w:sz w:val="20"/>
          <w:szCs w:val="20"/>
          <w:color w:val="auto"/>
        </w:rPr>
      </w:pPr>
    </w:p>
    <w:p>
      <w:pPr>
        <w:ind w:left="2987" w:hanging="741"/>
        <w:spacing w:after="0"/>
        <w:tabs>
          <w:tab w:leader="none" w:pos="298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Premium</w:t>
      </w:r>
      <w:r>
        <w:rPr>
          <w:rFonts w:ascii="Times New Roman" w:cs="Times New Roman" w:eastAsia="Times New Roman" w:hAnsi="Times New Roman"/>
          <w:sz w:val="22"/>
          <w:szCs w:val="22"/>
          <w:color w:val="auto"/>
        </w:rPr>
        <w:t>” means 10% of the Principal amount being paid.</w:t>
      </w:r>
    </w:p>
    <w:p>
      <w:pPr>
        <w:spacing w:after="0" w:line="58" w:lineRule="exact"/>
        <w:rPr>
          <w:sz w:val="20"/>
          <w:szCs w:val="20"/>
          <w:color w:val="auto"/>
        </w:rPr>
      </w:pPr>
    </w:p>
    <w:p>
      <w:pPr>
        <w:jc w:val="both"/>
        <w:ind w:left="7" w:firstLine="2246"/>
        <w:spacing w:after="0" w:line="239" w:lineRule="auto"/>
        <w:rPr>
          <w:sz w:val="20"/>
          <w:szCs w:val="20"/>
          <w:color w:val="auto"/>
        </w:rPr>
      </w:pPr>
      <w:r>
        <w:rPr>
          <w:rFonts w:ascii="Times New Roman" w:cs="Times New Roman" w:eastAsia="Times New Roman" w:hAnsi="Times New Roman"/>
          <w:sz w:val="22"/>
          <w:szCs w:val="22"/>
          <w:color w:val="auto"/>
        </w:rPr>
        <w:t>(z)“</w:t>
      </w:r>
      <w:r>
        <w:rPr>
          <w:rFonts w:ascii="Times New Roman" w:cs="Times New Roman" w:eastAsia="Times New Roman" w:hAnsi="Times New Roman"/>
          <w:sz w:val="22"/>
          <w:szCs w:val="22"/>
          <w:u w:val="single" w:color="auto"/>
          <w:color w:val="auto"/>
        </w:rPr>
        <w:t>Periodic Reports</w:t>
      </w:r>
      <w:r>
        <w:rPr>
          <w:rFonts w:ascii="Times New Roman" w:cs="Times New Roman" w:eastAsia="Times New Roman" w:hAnsi="Times New Roman"/>
          <w:sz w:val="22"/>
          <w:szCs w:val="22"/>
          <w:color w:val="auto"/>
        </w:rPr>
        <w:t>” shall mean all of the Company’s reports required to be filed by the Company with the Commission under applicable laws and regulations (including, without limitation, Regulation S-K), including annual reports (on Form 10-K), quarterly reports (on Form 10-Q), and current reports (on Form 8-K), for so long as any amounts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213360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395" w:right="459" w:bottom="1440" w:gutter="0" w:footer="0" w:header="0"/>
        </w:sectPr>
      </w:pPr>
    </w:p>
    <w:bookmarkStart w:id="180" w:name="page181"/>
    <w:bookmarkEnd w:id="180"/>
    <w:p>
      <w:pPr>
        <w:jc w:val="both"/>
        <w:ind w:left="9"/>
        <w:spacing w:after="0" w:line="246" w:lineRule="auto"/>
        <w:rPr>
          <w:sz w:val="20"/>
          <w:szCs w:val="20"/>
          <w:color w:val="auto"/>
        </w:rPr>
      </w:pPr>
      <w:r>
        <w:rPr>
          <w:rFonts w:ascii="Times New Roman" w:cs="Times New Roman" w:eastAsia="Times New Roman" w:hAnsi="Times New Roman"/>
          <w:sz w:val="22"/>
          <w:szCs w:val="22"/>
          <w:color w:val="auto"/>
        </w:rPr>
        <w:t xml:space="preserve">under this Note or any Other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71" w:lineRule="exact"/>
        <w:rPr>
          <w:sz w:val="20"/>
          <w:szCs w:val="20"/>
          <w:color w:val="auto"/>
        </w:rPr>
      </w:pPr>
    </w:p>
    <w:p>
      <w:pPr>
        <w:ind w:left="9" w:right="20" w:firstLine="2236"/>
        <w:spacing w:after="0" w:line="258" w:lineRule="auto"/>
        <w:tabs>
          <w:tab w:leader="none" w:pos="269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an association, a partnership, organization, a business, an individual, a government or political subdivision thereof or a governmental agency.</w:t>
      </w:r>
    </w:p>
    <w:p>
      <w:pPr>
        <w:spacing w:after="0" w:line="158" w:lineRule="exact"/>
        <w:rPr>
          <w:rFonts w:ascii="Times New Roman" w:cs="Times New Roman" w:eastAsia="Times New Roman" w:hAnsi="Times New Roman"/>
          <w:sz w:val="22"/>
          <w:szCs w:val="22"/>
          <w:color w:val="auto"/>
        </w:rPr>
      </w:pPr>
    </w:p>
    <w:p>
      <w:pPr>
        <w:jc w:val="both"/>
        <w:ind w:left="9" w:firstLine="2236"/>
        <w:spacing w:after="0" w:line="244" w:lineRule="auto"/>
        <w:tabs>
          <w:tab w:leader="none" w:pos="277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Market</w:t>
      </w:r>
      <w:r>
        <w:rPr>
          <w:rFonts w:ascii="Times New Roman" w:cs="Times New Roman" w:eastAsia="Times New Roman" w:hAnsi="Times New Roman"/>
          <w:sz w:val="22"/>
          <w:szCs w:val="22"/>
          <w:color w:val="auto"/>
        </w:rPr>
        <w:t>” means any of The New York Stock Exchange, the NYSE American, the Nasdaq Capital Market, the Nasdaq Global Market or the Nasdaq Global Select Market, and any successor to any of the foregoing markets or exchanges.</w:t>
      </w:r>
    </w:p>
    <w:p>
      <w:pPr>
        <w:spacing w:after="0" w:line="200" w:lineRule="exact"/>
        <w:rPr>
          <w:rFonts w:ascii="Times New Roman" w:cs="Times New Roman" w:eastAsia="Times New Roman" w:hAnsi="Times New Roman"/>
          <w:sz w:val="22"/>
          <w:szCs w:val="22"/>
          <w:color w:val="auto"/>
        </w:rPr>
      </w:pPr>
    </w:p>
    <w:p>
      <w:pPr>
        <w:ind w:left="9" w:firstLine="2236"/>
        <w:spacing w:after="0" w:line="258" w:lineRule="auto"/>
        <w:tabs>
          <w:tab w:leader="none" w:pos="265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means the registration rights agreement entered into between the Company and the Holder on the date hereof.</w:t>
      </w:r>
    </w:p>
    <w:p>
      <w:pPr>
        <w:spacing w:after="0" w:line="198" w:lineRule="exact"/>
        <w:rPr>
          <w:rFonts w:ascii="Times New Roman" w:cs="Times New Roman" w:eastAsia="Times New Roman" w:hAnsi="Times New Roman"/>
          <w:sz w:val="22"/>
          <w:szCs w:val="22"/>
          <w:color w:val="auto"/>
        </w:rPr>
      </w:pPr>
    </w:p>
    <w:p>
      <w:pPr>
        <w:jc w:val="both"/>
        <w:ind w:left="9" w:firstLine="2236"/>
        <w:spacing w:after="0" w:line="244" w:lineRule="auto"/>
        <w:tabs>
          <w:tab w:leader="none" w:pos="274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213" w:lineRule="exact"/>
        <w:rPr>
          <w:rFonts w:ascii="Times New Roman" w:cs="Times New Roman" w:eastAsia="Times New Roman" w:hAnsi="Times New Roman"/>
          <w:sz w:val="22"/>
          <w:szCs w:val="22"/>
          <w:color w:val="auto"/>
        </w:rPr>
      </w:pPr>
    </w:p>
    <w:p>
      <w:pPr>
        <w:ind w:left="2709" w:hanging="464"/>
        <w:spacing w:after="0"/>
        <w:tabs>
          <w:tab w:leader="none" w:pos="270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w:t>
      </w:r>
    </w:p>
    <w:p>
      <w:pPr>
        <w:spacing w:after="0" w:line="1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promulgated thereunder.</w:t>
      </w:r>
    </w:p>
    <w:p>
      <w:pPr>
        <w:spacing w:after="0" w:line="209" w:lineRule="exact"/>
        <w:rPr>
          <w:rFonts w:ascii="Times New Roman" w:cs="Times New Roman" w:eastAsia="Times New Roman" w:hAnsi="Times New Roman"/>
          <w:sz w:val="22"/>
          <w:szCs w:val="22"/>
          <w:color w:val="auto"/>
        </w:rPr>
      </w:pPr>
    </w:p>
    <w:p>
      <w:pPr>
        <w:ind w:left="2669" w:hanging="422"/>
        <w:spacing w:after="0"/>
        <w:tabs>
          <w:tab w:leader="none" w:pos="266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shall have the meaning set forth in Section</w:t>
      </w:r>
    </w:p>
    <w:p>
      <w:pPr>
        <w:spacing w:after="0" w:line="14"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color w:val="auto"/>
        </w:rPr>
        <w:t>(3)(b)(i).</w:t>
      </w:r>
    </w:p>
    <w:p>
      <w:pPr>
        <w:spacing w:after="0" w:line="223" w:lineRule="exact"/>
        <w:rPr>
          <w:sz w:val="20"/>
          <w:szCs w:val="20"/>
          <w:color w:val="auto"/>
        </w:rPr>
      </w:pPr>
    </w:p>
    <w:p>
      <w:pPr>
        <w:ind w:left="2249"/>
        <w:spacing w:after="0"/>
        <w:rPr>
          <w:sz w:val="20"/>
          <w:szCs w:val="20"/>
          <w:color w:val="auto"/>
        </w:rPr>
      </w:pPr>
      <w:r>
        <w:rPr>
          <w:rFonts w:ascii="Times New Roman" w:cs="Times New Roman" w:eastAsia="Times New Roman" w:hAnsi="Times New Roman"/>
          <w:sz w:val="22"/>
          <w:szCs w:val="22"/>
          <w:color w:val="auto"/>
        </w:rPr>
        <w:t>(gg)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w:t>
      </w:r>
    </w:p>
    <w:p>
      <w:pPr>
        <w:spacing w:after="0" w:line="14" w:lineRule="exact"/>
        <w:rPr>
          <w:sz w:val="20"/>
          <w:szCs w:val="20"/>
          <w:color w:val="auto"/>
        </w:rPr>
      </w:pPr>
    </w:p>
    <w:p>
      <w:pPr>
        <w:jc w:val="both"/>
        <w:ind w:left="9"/>
        <w:spacing w:after="0" w:line="241" w:lineRule="auto"/>
        <w:rPr>
          <w:sz w:val="20"/>
          <w:szCs w:val="20"/>
          <w:color w:val="auto"/>
        </w:rPr>
      </w:pPr>
      <w:r>
        <w:rPr>
          <w:rFonts w:ascii="Times New Roman" w:cs="Times New Roman" w:eastAsia="Times New Roman" w:hAnsi="Times New Roman"/>
          <w:sz w:val="21"/>
          <w:szCs w:val="21"/>
          <w:color w:val="auto"/>
        </w:rPr>
        <w:t>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w:t>
      </w:r>
    </w:p>
    <w:p>
      <w:pPr>
        <w:spacing w:after="0" w:line="2" w:lineRule="exact"/>
        <w:rPr>
          <w:sz w:val="20"/>
          <w:szCs w:val="20"/>
          <w:color w:val="auto"/>
        </w:rPr>
      </w:pPr>
    </w:p>
    <w:p>
      <w:pPr>
        <w:ind w:left="249" w:hanging="249"/>
        <w:spacing w:after="0"/>
        <w:tabs>
          <w:tab w:leader="none" w:pos="24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(ii) such Person and one or more Subsidiaries of such Person; or (iii) one or more Subsidiaries of such Person.</w:t>
      </w:r>
    </w:p>
    <w:p>
      <w:pPr>
        <w:spacing w:after="0" w:line="234" w:lineRule="exact"/>
        <w:rPr>
          <w:rFonts w:ascii="Times New Roman" w:cs="Times New Roman" w:eastAsia="Times New Roman" w:hAnsi="Times New Roman"/>
          <w:sz w:val="21"/>
          <w:szCs w:val="21"/>
          <w:color w:val="auto"/>
        </w:rPr>
      </w:pPr>
    </w:p>
    <w:p>
      <w:pPr>
        <w:jc w:val="both"/>
        <w:ind w:left="9" w:firstLine="2236"/>
        <w:spacing w:after="0" w:line="244" w:lineRule="auto"/>
        <w:tabs>
          <w:tab w:leader="none" w:pos="268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Common Shares are quoted or traded on a Primary Market on which the Common Shares are then quoted or listed; provided, that in the event that the Common Shares are not listed or quoted, then Trading Day shall mean a Business Day.</w:t>
      </w:r>
    </w:p>
    <w:p>
      <w:pPr>
        <w:spacing w:after="0" w:line="173" w:lineRule="exact"/>
        <w:rPr>
          <w:rFonts w:ascii="Times New Roman" w:cs="Times New Roman" w:eastAsia="Times New Roman" w:hAnsi="Times New Roman"/>
          <w:sz w:val="22"/>
          <w:szCs w:val="22"/>
          <w:color w:val="auto"/>
        </w:rPr>
      </w:pPr>
    </w:p>
    <w:p>
      <w:pPr>
        <w:jc w:val="both"/>
        <w:ind w:left="9" w:firstLine="2236"/>
        <w:spacing w:after="0" w:line="244" w:lineRule="auto"/>
        <w:tabs>
          <w:tab w:leader="none" w:pos="2666"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w:t>
      </w:r>
      <w:r>
        <w:rPr>
          <w:rFonts w:ascii="Times New Roman" w:cs="Times New Roman" w:eastAsia="Times New Roman" w:hAnsi="Times New Roman"/>
          <w:sz w:val="22"/>
          <w:szCs w:val="22"/>
          <w:color w:val="auto"/>
        </w:rPr>
        <w:t>” means, each of, the Other Notes, the SEPA, the Registration Rights Agreement and any and all documents, agreements, instruments or other items executed or delivered in connection with any of the foregoing.</w:t>
      </w:r>
    </w:p>
    <w:p>
      <w:pPr>
        <w:spacing w:after="0" w:line="24" w:lineRule="exact"/>
        <w:rPr>
          <w:rFonts w:ascii="Times New Roman" w:cs="Times New Roman" w:eastAsia="Times New Roman" w:hAnsi="Times New Roman"/>
          <w:sz w:val="22"/>
          <w:szCs w:val="22"/>
          <w:color w:val="auto"/>
        </w:rPr>
      </w:pPr>
    </w:p>
    <w:p>
      <w:pPr>
        <w:ind w:left="9" w:firstLine="2236"/>
        <w:spacing w:after="0" w:line="258" w:lineRule="auto"/>
        <w:tabs>
          <w:tab w:leader="none" w:pos="259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Shares</w:t>
      </w:r>
      <w:r>
        <w:rPr>
          <w:rFonts w:ascii="Times New Roman" w:cs="Times New Roman" w:eastAsia="Times New Roman" w:hAnsi="Times New Roman"/>
          <w:sz w:val="22"/>
          <w:szCs w:val="22"/>
          <w:color w:val="auto"/>
        </w:rPr>
        <w:t>” means the Common Shares issuable upon conversion of this Note or as payment of interest in accordance with the terms hereof.</w:t>
      </w:r>
    </w:p>
    <w:p>
      <w:pPr>
        <w:spacing w:after="0" w:line="198" w:lineRule="exact"/>
        <w:rPr>
          <w:rFonts w:ascii="Times New Roman" w:cs="Times New Roman" w:eastAsia="Times New Roman" w:hAnsi="Times New Roman"/>
          <w:sz w:val="22"/>
          <w:szCs w:val="22"/>
          <w:color w:val="auto"/>
        </w:rPr>
      </w:pPr>
    </w:p>
    <w:p>
      <w:pPr>
        <w:jc w:val="both"/>
        <w:ind w:left="9" w:firstLine="2236"/>
        <w:spacing w:after="0" w:line="244" w:lineRule="auto"/>
        <w:tabs>
          <w:tab w:leader="none" w:pos="2667"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509270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9"/>
          </w:cols>
          <w:pgMar w:left="431" w:top="1391" w:right="459" w:bottom="1440" w:gutter="0" w:footer="0" w:header="0"/>
        </w:sectPr>
      </w:pPr>
    </w:p>
    <w:bookmarkStart w:id="181" w:name="page182"/>
    <w:bookmarkEnd w:id="181"/>
    <w:p>
      <w:pPr>
        <w:spacing w:after="0" w:line="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314" w:lineRule="exact"/>
        <w:rPr>
          <w:sz w:val="20"/>
          <w:szCs w:val="20"/>
          <w:color w:val="auto"/>
        </w:rPr>
      </w:pPr>
    </w:p>
    <w:p>
      <w:pPr>
        <w:jc w:val="both"/>
        <w:ind w:left="120"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Convertible Promissory Note to be duly executed by a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 as of the date set forth above.</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BANZAI INTERNATIONAL, INC.</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Joseph Davy</w:t>
      </w:r>
    </w:p>
    <w:p>
      <w:pPr>
        <w:spacing w:after="0" w:line="9" w:lineRule="exact"/>
        <w:rPr>
          <w:sz w:val="20"/>
          <w:szCs w:val="20"/>
          <w:color w:val="auto"/>
        </w:rPr>
      </w:pPr>
    </w:p>
    <w:p>
      <w:pPr>
        <w:ind w:left="5060"/>
        <w:spacing w:after="0"/>
        <w:tabs>
          <w:tab w:leader="none" w:pos="5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Name: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-22860</wp:posOffset>
            </wp:positionV>
            <wp:extent cx="762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50">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ind w:left="5060"/>
        <w:spacing w:after="0"/>
        <w:tabs>
          <w:tab w:leader="none" w:pos="5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BANZAI OPERATING CO INC.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Joseph Davy</w:t>
      </w:r>
    </w:p>
    <w:tbl>
      <w:tblPr>
        <w:tblLayout w:type="fixed"/>
        <w:tblInd w:w="4980" w:type="dxa"/>
        <w:tblCellMar>
          <w:top w:w="0" w:type="dxa"/>
          <w:left w:w="0" w:type="dxa"/>
          <w:bottom w:w="0" w:type="dxa"/>
          <w:right w:w="0" w:type="dxa"/>
        </w:tblCellMar>
      </w:tblPr>
      <w:tr>
        <w:trPr>
          <w:trHeight w:val="225"/>
        </w:trPr>
        <w:tc>
          <w:tcPr>
            <w:tcW w:w="320" w:type="dxa"/>
            <w:vAlign w:val="bottom"/>
          </w:tcPr>
          <w:p>
            <w:pPr>
              <w:spacing w:after="0" w:line="225" w:lineRule="exact"/>
              <w:rPr>
                <w:sz w:val="20"/>
                <w:szCs w:val="20"/>
                <w:color w:val="auto"/>
              </w:rPr>
            </w:pPr>
            <w:r>
              <w:rPr>
                <w:rFonts w:ascii="Times New Roman" w:cs="Times New Roman" w:eastAsia="Times New Roman" w:hAnsi="Times New Roman"/>
                <w:sz w:val="22"/>
                <w:szCs w:val="22"/>
                <w:color w:val="auto"/>
                <w:w w:val="94"/>
              </w:rPr>
              <w:t>By:</w:t>
            </w:r>
          </w:p>
        </w:tc>
        <w:tc>
          <w:tcPr>
            <w:tcW w:w="1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tcPr>
          <w:p>
            <w:pPr>
              <w:spacing w:after="0" w:line="225" w:lineRule="exact"/>
              <w:rPr>
                <w:sz w:val="20"/>
                <w:szCs w:val="20"/>
                <w:color w:val="auto"/>
              </w:rPr>
            </w:pPr>
            <w:r>
              <w:rPr>
                <w:rFonts w:ascii="Times New Roman" w:cs="Times New Roman" w:eastAsia="Times New Roman" w:hAnsi="Times New Roman"/>
                <w:sz w:val="22"/>
                <w:szCs w:val="22"/>
                <w:color w:val="auto"/>
              </w:rPr>
              <w:t>Name: Joseph Davy</w:t>
            </w:r>
          </w:p>
        </w:tc>
      </w:tr>
      <w:tr>
        <w:trPr>
          <w:trHeight w:val="276"/>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87"/>
              </w:rPr>
              <w:t>Title:</w:t>
            </w:r>
          </w:p>
        </w:tc>
        <w:tc>
          <w:tcPr>
            <w:tcW w:w="40" w:type="dxa"/>
            <w:vAlign w:val="bottom"/>
          </w:tcPr>
          <w:p>
            <w:pPr>
              <w:spacing w:after="0"/>
              <w:rPr>
                <w:sz w:val="23"/>
                <w:szCs w:val="23"/>
                <w:color w:val="auto"/>
              </w:rPr>
            </w:pPr>
          </w:p>
        </w:tc>
        <w:tc>
          <w:tcPr>
            <w:tcW w:w="24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Chief Executive Officer</w:t>
            </w:r>
          </w:p>
        </w:tc>
      </w:tr>
    </w:tbl>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 xml:space="preserve">EXHIBIT I </w:t>
      </w:r>
      <w:r>
        <w:rPr>
          <w:rFonts w:ascii="Times New Roman" w:cs="Times New Roman" w:eastAsia="Times New Roman" w:hAnsi="Times New Roman"/>
          <w:sz w:val="22"/>
          <w:szCs w:val="22"/>
          <w:b w:val="1"/>
          <w:bCs w:val="1"/>
          <w:u w:val="single" w:color="auto"/>
          <w:color w:val="auto"/>
        </w:rPr>
        <w:t>CONVERSION NOTICE</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 be executed by the Holder in order to Convert the Note)</w:t>
      </w: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TO: BANZAI INTERNATIONAL, INC.</w:t>
      </w:r>
    </w:p>
    <w:p>
      <w:pPr>
        <w:spacing w:after="0" w:line="1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Via Email:</w:t>
      </w:r>
    </w:p>
    <w:p>
      <w:pPr>
        <w:spacing w:after="0" w:line="228" w:lineRule="exact"/>
        <w:rPr>
          <w:sz w:val="20"/>
          <w:szCs w:val="20"/>
          <w:color w:val="auto"/>
        </w:rPr>
      </w:pPr>
    </w:p>
    <w:p>
      <w:pPr>
        <w:jc w:val="both"/>
        <w:ind w:left="120" w:firstLine="747"/>
        <w:spacing w:after="0" w:line="244" w:lineRule="auto"/>
        <w:rPr>
          <w:sz w:val="20"/>
          <w:szCs w:val="20"/>
          <w:color w:val="auto"/>
        </w:rPr>
      </w:pPr>
      <w:r>
        <w:rPr>
          <w:rFonts w:ascii="Times New Roman" w:cs="Times New Roman" w:eastAsia="Times New Roman" w:hAnsi="Times New Roman"/>
          <w:sz w:val="22"/>
          <w:szCs w:val="22"/>
          <w:color w:val="auto"/>
        </w:rPr>
        <w:t xml:space="preserve">The undersigned hereby irrevocably elects to convert a portion of the outstanding and unpaid Conversion Amount of Note No. </w:t>
      </w:r>
      <w:r>
        <w:rPr>
          <w:rFonts w:ascii="Times New Roman" w:cs="Times New Roman" w:eastAsia="Times New Roman" w:hAnsi="Times New Roman"/>
          <w:sz w:val="22"/>
          <w:szCs w:val="22"/>
          <w:u w:val="single" w:color="auto"/>
          <w:color w:val="auto"/>
        </w:rPr>
        <w:t>BNZI-3</w:t>
      </w:r>
      <w:r>
        <w:rPr>
          <w:rFonts w:ascii="Times New Roman" w:cs="Times New Roman" w:eastAsia="Times New Roman" w:hAnsi="Times New Roman"/>
          <w:sz w:val="22"/>
          <w:szCs w:val="22"/>
          <w:color w:val="auto"/>
        </w:rPr>
        <w:t xml:space="preserve"> into Common Shares of </w:t>
      </w:r>
      <w:r>
        <w:rPr>
          <w:rFonts w:ascii="Times New Roman" w:cs="Times New Roman" w:eastAsia="Times New Roman" w:hAnsi="Times New Roman"/>
          <w:sz w:val="22"/>
          <w:szCs w:val="22"/>
          <w:b w:val="1"/>
          <w:bCs w:val="1"/>
          <w:color w:val="auto"/>
        </w:rPr>
        <w:t>BANZAI INTERNATIONAL, INC.</w:t>
      </w:r>
      <w:r>
        <w:rPr>
          <w:rFonts w:ascii="Times New Roman" w:cs="Times New Roman" w:eastAsia="Times New Roman" w:hAnsi="Times New Roman"/>
          <w:sz w:val="22"/>
          <w:szCs w:val="22"/>
          <w:color w:val="auto"/>
        </w:rPr>
        <w:t>, according to the conditions stated therein, as of the Conversion Date written below.</w:t>
      </w: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Conversion Date:</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Principal Amount to be Converted:</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Accrued Interest to be Converted:</w:t>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Total Conversion Amount to be converted:</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Fixed Price:</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Variable Price:</w:t>
      </w:r>
    </w:p>
    <w:p>
      <w:pPr>
        <w:spacing w:after="0" w:line="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82" w:name="page183"/>
    <w:bookmarkEnd w:id="182"/>
    <w:p>
      <w:pPr>
        <w:ind w:left="220"/>
        <w:spacing w:after="0"/>
        <w:rPr>
          <w:sz w:val="20"/>
          <w:szCs w:val="20"/>
          <w:color w:val="auto"/>
        </w:rPr>
      </w:pPr>
      <w:r>
        <w:rPr>
          <w:rFonts w:ascii="Times New Roman" w:cs="Times New Roman" w:eastAsia="Times New Roman" w:hAnsi="Times New Roman"/>
          <w:sz w:val="20"/>
          <w:szCs w:val="20"/>
          <w:b w:val="1"/>
          <w:bCs w:val="1"/>
          <w:color w:val="auto"/>
        </w:rPr>
        <w:t>Number of Common Shares to be issued:</w:t>
      </w: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Please issue the Common Shares in the following name and deliver them to the following account: Issue to:</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Broker DTC Participant Code:</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Account Number:</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Authorized Signature:</w:t>
            </w:r>
          </w:p>
        </w:tc>
        <w:tc>
          <w:tcPr>
            <w:tcW w:w="400" w:type="dxa"/>
            <w:vAlign w:val="bottom"/>
          </w:tcPr>
          <w:p>
            <w:pPr>
              <w:spacing w:after="0"/>
              <w:rPr>
                <w:sz w:val="19"/>
                <w:szCs w:val="19"/>
                <w:color w:val="auto"/>
              </w:rPr>
            </w:pPr>
          </w:p>
        </w:tc>
        <w:tc>
          <w:tcPr>
            <w:tcW w:w="864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r>
      <w:tr>
        <w:trPr>
          <w:trHeight w:val="209"/>
        </w:trPr>
        <w:tc>
          <w:tcPr>
            <w:tcW w:w="2200" w:type="dxa"/>
            <w:vAlign w:val="bottom"/>
            <w:gridSpan w:val="3"/>
          </w:tcPr>
          <w:p>
            <w:pPr>
              <w:ind w:left="220"/>
              <w:spacing w:after="0" w:line="209" w:lineRule="exact"/>
              <w:rPr>
                <w:sz w:val="20"/>
                <w:szCs w:val="20"/>
                <w:color w:val="auto"/>
              </w:rPr>
            </w:pPr>
            <w:r>
              <w:rPr>
                <w:rFonts w:ascii="Times New Roman" w:cs="Times New Roman" w:eastAsia="Times New Roman" w:hAnsi="Times New Roman"/>
                <w:sz w:val="20"/>
                <w:szCs w:val="20"/>
                <w:b w:val="1"/>
                <w:bCs w:val="1"/>
                <w:color w:val="auto"/>
              </w:rPr>
              <w:t>Title:</w:t>
            </w:r>
          </w:p>
        </w:tc>
        <w:tc>
          <w:tcPr>
            <w:tcW w:w="40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60" w:type="dxa"/>
            <w:vAlign w:val="bottom"/>
          </w:tcPr>
          <w:p>
            <w:pPr>
              <w:spacing w:after="0"/>
              <w:rPr>
                <w:sz w:val="18"/>
                <w:szCs w:val="18"/>
                <w:color w:val="auto"/>
              </w:rPr>
            </w:pPr>
          </w:p>
        </w:tc>
      </w:tr>
      <w:tr>
        <w:trPr>
          <w:trHeight w:val="378"/>
        </w:trPr>
        <w:tc>
          <w:tcPr>
            <w:tcW w:w="1020" w:type="dxa"/>
            <w:vAlign w:val="bottom"/>
            <w:tcBorders>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material provisions of the securities of Banzai International, Inc. (the “Company”) does not purport to be complete and is subject to and qualified in its entirety by the provisions of the Company’s Second Amended and Restated Certificate of Incorporation (the “Charter”), the Company’s Second Amended and Restated Bylaws (the “Bylaws”) and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Charter authorizes the issuance of 350,000,000 shares, consisting of 250,000,000 shares of Class A common stock, $0.0001 par value per share, of the Company (“Class A Common Stock”), 25,000,000 shares of Class B common stock, par value $0.0001 per share, of the Company (“Class B Common Stock”), and 75,000,000 shares of preferred stock, $0.0001 par value per share, of the Company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Each holder of Class A Common Stock is entitled to one vote for each share of Class A Common Stock held of record by such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all matters voted upon by the Company’s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Delaware General Corporation Law (the “DGCL”).</w:t>
      </w:r>
    </w:p>
    <w:p>
      <w:pPr>
        <w:spacing w:after="0" w:line="182" w:lineRule="exact"/>
        <w:rPr>
          <w:sz w:val="20"/>
          <w:szCs w:val="20"/>
          <w:color w:val="auto"/>
        </w:rPr>
      </w:pPr>
    </w:p>
    <w:p>
      <w:pPr>
        <w:jc w:val="both"/>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the rights of holders of Preferred Stock, holders of Class A Common Stock and Class B Common Stock are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ratably, on a per share basis, dividends and other distributions in cash, stock or property of the Company as may be declared and paid from time to time by the Company’s board of directors (the “Board”) out of any of the Company’s assets legally available therefor.</w:t>
      </w:r>
    </w:p>
    <w:p>
      <w:pPr>
        <w:spacing w:after="0" w:line="171"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Subject to applicable law and the rights of holders of Preferred Stock, holders of Class A Common Stock and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spacing w:after="0" w:line="179"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No holder of Class A Common Stock is entitled to preemptive or subscription rights contained in the Charter or in the Bylaws.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 redemption or sinking fund provisions applicable to the Class A Common Stock. The rights, preferences, and privileges of holders of the Class A Common Stock are subject to those of the holders of any shares of the Preferred Stock that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5"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Class B Common Stock. </w:t>
      </w:r>
      <w:r>
        <w:rPr>
          <w:rFonts w:ascii="Times New Roman" w:cs="Times New Roman" w:eastAsia="Times New Roman" w:hAnsi="Times New Roman"/>
          <w:sz w:val="18"/>
          <w:szCs w:val="18"/>
          <w:color w:val="auto"/>
        </w:rPr>
        <w:t>Shares of Class B Common Stock may be issued only to, and registered in the name of, the Company’s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Joseph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property or other consideration (other than an interest in such entity) to Mr. Davy (collectively, “Permitted Class B Owners”).</w:t>
      </w:r>
    </w:p>
    <w:p>
      <w:pPr>
        <w:spacing w:after="0" w:line="221"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Each holder of Class B Common Stock is entitled to 10 votes for each share of Class B Common Stock held of record by such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all matters voted upon by the Company’s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spacing w:after="0" w:line="182" w:lineRule="exact"/>
        <w:rPr>
          <w:sz w:val="20"/>
          <w:szCs w:val="20"/>
          <w:color w:val="auto"/>
        </w:rPr>
      </w:pPr>
    </w:p>
    <w:p>
      <w:pPr>
        <w:jc w:val="both"/>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the rights of holders of Preferred Stock, holders of Class A Common Stock and Class B Common Stock are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ratably, on a per share basis, dividends and other distributions in cash, stock or property of the Company as may be declared and paid from time to time by the Board out of any of the Company’s assets legally available therefor.</w:t>
      </w:r>
    </w:p>
    <w:p>
      <w:pPr>
        <w:spacing w:after="0" w:line="171"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Subject to applicable law and the rights of holders of Preferred Stock, holders of Class A Common Stock and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spacing w:after="0" w:line="17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w:t>
      </w:r>
      <w:r>
        <w:rPr>
          <w:rFonts w:ascii="Times New Roman" w:cs="Times New Roman" w:eastAsia="Times New Roman" w:hAnsi="Times New Roman"/>
          <w:sz w:val="18"/>
          <w:szCs w:val="18"/>
          <w:color w:val="auto"/>
        </w:rPr>
        <w:t>. Pursuant to the Charter, holders of shares of Class B Common Stock are generally restricted from transferring such shares, other than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Class B Owner or in connection with a divorce or domestic relations order or decree.</w:t>
      </w:r>
    </w:p>
    <w:p>
      <w:pPr>
        <w:spacing w:after="0" w:line="4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Each share of Class B Common Stock will be (1) automatically converted into an equal number of fully paid and nonassessable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spacing w:after="0" w:line="183" w:lineRule="exact"/>
        <w:rPr>
          <w:sz w:val="20"/>
          <w:szCs w:val="20"/>
          <w:color w:val="auto"/>
        </w:rPr>
      </w:pPr>
    </w:p>
    <w:p>
      <w:pPr>
        <w:jc w:val="both"/>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No holder of Class B Common Stock is entitled to preemptive or subscription rights contained in the Charter or in the Bylaws.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 redemption or sinking fund provisions applicable to the Class B Common Stock. The rights, preferences, and privileges of holders of the shares of Class B Common Stock are subject to those of the holders of any shares of the Preferred Stock that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86"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the Class A Common Stock, impairing the liquidation rights of the capital stock of the Company, or delaying or preventing a change in control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Stockholder Warrants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initial public offering (the “IPO”), the Company issued 11,500,000 warrants (the “Public Warrants”). Each whole Public Warrant entitles the registered holder to purchase one share of Class A Common Stock at a price of $11.50 per share, subject to adjustment as discussed below, at any time commencing January 13, 2024, subject to certain exceptions. Pursuant to the Warrant Agreement, dated December 22, 2020 (the “Warrant Agreement”), between the Company (as successor in interest to 7GC &amp; Co. Holdings Inc. (“7GC”)) and Continental Stock Transfer &amp; Trust Company, as warrant agent, a warrant holder may exercise its Public Warrants only for a whole number of shares of Class A Common Stock. The Public Warrants will expire five years after the Closing (as defined below), at 5:00 p.m., New York City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Class A Common Stock Equals or Exceeds $18.00.</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1140" w:hanging="383"/>
        <w:spacing w:after="0"/>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17" w:lineRule="exact"/>
        <w:rPr>
          <w:rFonts w:ascii="Times New Roman" w:cs="Times New Roman" w:eastAsia="Times New Roman" w:hAnsi="Times New Roman"/>
          <w:sz w:val="18"/>
          <w:szCs w:val="18"/>
          <w:color w:val="auto"/>
        </w:rPr>
      </w:pPr>
    </w:p>
    <w:p>
      <w:pPr>
        <w:ind w:left="1140" w:right="60" w:hanging="383"/>
        <w:spacing w:after="0" w:line="261" w:lineRule="auto"/>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 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Warrants—Anti-dilution Adjustments</w:t>
      </w:r>
      <w:r>
        <w:rPr>
          <w:rFonts w:ascii="Times New Roman" w:cs="Times New Roman" w:eastAsia="Times New Roman" w:hAnsi="Times New Roman"/>
          <w:sz w:val="18"/>
          <w:szCs w:val="18"/>
          <w:color w:val="auto"/>
        </w:rPr>
        <w:t>”) for any 20 trading days within a 30-trading day period ending three trading days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sends the notice of redemption to the warrant holders.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 redemption trigger price (as adjusted for certain adjustments to the number of shares issuable upon exercise or the exercise price of a Public Warrant) as well as the $11.50 (for whole shares) Public Warrant exercise price after the redemption notice is issued.</w:t>
      </w:r>
    </w:p>
    <w:p>
      <w:pPr>
        <w:spacing w:after="0" w:line="7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$0.50, then the Public Warrant price shall be decreased, effective immediately, by the amount of cash and/or fair market value (as determined by the Board in good faith) of any securities or other assets paid on each share.</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stock split or reclassification of the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the Company’s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Securities Exchange Act of 1934, as amended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 Warrant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made and executed a warrant (the “GEM Warrant”) to GEM Global Yield LLC SCS and GEM Yield Bahamas Limited (collectively, “GEM”), which entitles GEM to purchase up to 828,533 shares of Class A Common Stock at an exercise price of $6.49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8" w:name="page189"/>
    <w:bookmarkEnd w:id="188"/>
    <w:p>
      <w:pPr>
        <w:spacing w:after="0" w:line="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Warrant is being exercised, the portion of the GEM Warrant being exercised, divided by the per share market value of one share of Class A Common Stock.</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Convertible Notes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19, 2021, Banzai Operating Co LLC (f/k/a Banzai International, Inc.), a Delaware corporation (“Legacy Banzai”) issued the convertible promissory notes (the “Senior Convertible Notes”) dated as of February 19, 2021 (the “First Senior Convertible Note”) and October 10, 2022 (the “Second Senior Convertible Note”) to CP BF Lending LLC (“CP BF”) in connection with a loan agreement with CP BF (the “Lender” and such agreement, the “Loan Agreement”).</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First Senior Convertible Note has an aggregate principal amount of $1.5 million. On October 10, 2022, the Loan Agreement was amended, whereby CP BF waived payment by Banzai of four months of cash interest with respect to the term loan under the Loan Agreement in replacement for the Second Senior Convertible Note in an aggregate principal amount of $321,345. On August 24, 2023, Legacy Banzai and CP BF entered into a forbearance agreement, in connection with which they agreed to amend and restate the Senior Convertible Notes so that they would not convert at the closing (the “Closing”) of the Company’s business combination on December 14, 2023 as a “Change of Control.”</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After the Closing, the Senior Convertible Notes became convertible, at CP BF’s option on 5 days’ written notice to the Company, into shares of Class A Common Stock. The Senior Convertible Notes provide that, at all times after a SPAC Transaction (as defined in the Senior Convertible Notes), the conversion price for any such conversion is $4.3485 per share.</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Senior Convertible Notes accrue paid-in-kind interest on the unpaid principal balance at a rate equal to 15.5% per annum, compounding monthly, subject to an increase to 20.0% upon an event of default as described in the Senior Convertible Notes, and have a maturity date of February 19, 2025.</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Senior Convertible Notes are subject to a restriction on conversion such that the principal of the Senior Convertible Notes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 Promissory Note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February 5, 2024, the Company issued a promissory note (the “GEM Promissory Note”) in a private placement by the Company to GEM pursuant to the terms of that certain settlement agreement (the “GEM Settlement Agreement”), dated February 5, 2024, by and between the Company and GEM.</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9" w:name="page190"/>
    <w:bookmarkEnd w:id="189"/>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volume-weighted average price (“VWAP”) for the trading day immediately preceding the payment due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Promissory Notes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Pursuant to the standby equity purchase agreement (the “Original SEPA”) dated December 14, 2023, by and among Legacy Banzai, 7GC and YA II PN, LTD, a Cayman Islands exempt limited partnership managed by Yorkville Advisors Global, LP (“Yorkville”), as amended by that certain supplemental agreement (the “SEPA Supplemental Agreement” and, together with the Original SEPA, the “SEPA”), dated February 5, 2024,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Yorkville SEPA</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the SEPA, Yorkville advanced to the Company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(as defined in the SEPA) having a principal amount of $2.0 million, the Second Tranche (as defined in the SEPA) of $1.0 million (less a 10% discount) was advanced on February 5, 2024 and is evidenced by the issuance by the Company on February 5, 2024 of the Second Yorkville Promissory Note (as defined in the SEPA) having a principal amount of $1.0 million and the Third Tranche (as defined in the SEPA) of $1.5 million (less a 10% discount) was advanced on March 27, 2024 and is evidenced by the issuance by the Company on March 26, 2024 to Yorkville of the Third Yorkville Promissory Note (as defined in the SEPA) having a principal amount of $1.5 million.</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Yorkville Promissory Notes (as defined in the SEPA) shall be convertible by Yorkville into shares of Class A Common Stock at an aggregate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based on a price per share equal to the lower of (a) the Fixed Price (as defined in the SEPA) of $2.0766 per share or (b) the Variable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in the SEPA) of 90% of the lowest daily VWAP of the shares of Class A Common Stock on Nasdaq during the ten trading days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each conversion, but which Variable Price shall not be lower than the Floor Price (as defined in the SEPA) then in effect. The “Floor Price”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$0.2940 per share (subject to adjustment from time to time). Additionally, the Company, at its option, shall have the right, but not the obligation, to redeem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a portion or all amounts outstanding under the Promissory Notes at a redemption amount equal to the outstanding principal balance being repaid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plus a 10% prepayment premium, plus all accrued and unpaid interest; provided that (i) the Company provides Yorkville with no less than five</w:t>
      </w:r>
    </w:p>
    <w:p>
      <w:pPr>
        <w:spacing w:after="0" w:line="9" w:lineRule="exact"/>
        <w:rPr>
          <w:sz w:val="20"/>
          <w:szCs w:val="20"/>
          <w:color w:val="auto"/>
        </w:rPr>
      </w:pPr>
    </w:p>
    <w:p>
      <w:pPr>
        <w:ind w:right="480" w:firstLine="8"/>
        <w:spacing w:after="0" w:line="260"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written notice thereof and (ii) on the date such notice is issued, the VWAP of the shares of Class A Common Stock is less than $2.0766 (subject to adjustment from time to time, the “Fixed Price”).</w:t>
      </w:r>
    </w:p>
    <w:p>
      <w:pPr>
        <w:spacing w:after="0" w:line="7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Yorkville Promissory Notes accrue interest on the outstanding principal balances at an annual rate equal to 0%, subject to an increase to 18% upon an event of default as described in the Yorkville Promissory Notes. The Yorkville Promissory Notes each mature on June 14, 2024, which maturity may be extended at the option of the holder.</w:t>
      </w:r>
    </w:p>
    <w:p>
      <w:pPr>
        <w:spacing w:after="0" w:line="6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w:t>
      </w:r>
    </w:p>
    <w:p>
      <w:pPr>
        <w:spacing w:after="0" w:line="1" w:lineRule="exact"/>
        <w:rPr>
          <w:sz w:val="20"/>
          <w:szCs w:val="20"/>
          <w:color w:val="auto"/>
        </w:rPr>
      </w:pPr>
    </w:p>
    <w:p>
      <w:pPr>
        <w:ind w:firstLine="8"/>
        <w:spacing w:after="0" w:line="253" w:lineRule="auto"/>
        <w:tabs>
          <w:tab w:leader="none" w:pos="3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SEPA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the Company’s request any time pursuant to Advance Notices (as defined in the SEPA)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spacing w:after="0" w:line="79"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At any time during the Commitment Period (as defined in the SEPA) and provided that a balance under a Yorkville Promissory Note is outstanding, Yorkville may, by providing an Investor Notice (as defined in the SEPA)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(as defined in the SEPA) and shall be paid by offsetting the amount of the aggregate purchase price to be paid by Yorkville against an equal amount outstanding under the Promissory Note.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Otherwise, the Class A Common Stock to be issued to Yorkville from time to time under the SEPA will be issued at one of two pricing options, at the election of the Company. Under Pricing Option 1, the Company will sell the Class A Common Stock at 95% of the VWAP of the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the Class A Common Stock at 96% of the lowest daily VWAP of the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 The Company’s ability to deliver Advance Notices to Yorkville under the SEPA is subject to the satisfaction or waiver of certain conditions.</w:t>
      </w:r>
    </w:p>
    <w:p>
      <w:pPr>
        <w:spacing w:after="0" w:line="8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SEPA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earlier terminated as provided in the SEPA, the SEPA will terminate automatically on the earlier to occur of:</w:t>
      </w:r>
    </w:p>
    <w:p>
      <w:pPr>
        <w:spacing w:after="0" w:line="117" w:lineRule="exact"/>
        <w:rPr>
          <w:sz w:val="20"/>
          <w:szCs w:val="20"/>
          <w:color w:val="auto"/>
        </w:rPr>
      </w:pPr>
    </w:p>
    <w:p>
      <w:pPr>
        <w:jc w:val="both"/>
        <w:ind w:left="1140" w:right="60" w:hanging="383"/>
        <w:spacing w:after="0" w:line="266"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p>
      <w:pPr>
        <w:spacing w:after="0" w:line="6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Yorkville shall have made payment of Advances pursuant to the SEPA for shares of Class A Common Stock equal to the commitment amount of $100.0 million.</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Subject to certain conditions, the Company may unilaterally terminate the SEPA upon five trading days’ prior written notice to Yorkville. The SEPA may also be terminated at any time by mutual written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Charter or Bylaws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spacing w:after="0" w:line="172"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the Charter</w:t>
      </w:r>
    </w:p>
    <w:p>
      <w:pPr>
        <w:spacing w:after="0" w:line="121"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18"/>
          <w:szCs w:val="18"/>
          <w:color w:val="auto"/>
        </w:rPr>
        <w:t>Among other things, the Charter and Bylaws:</w:t>
      </w:r>
    </w:p>
    <w:p>
      <w:pPr>
        <w:spacing w:after="0" w:line="117" w:lineRule="exact"/>
        <w:rPr>
          <w:sz w:val="20"/>
          <w:szCs w:val="20"/>
          <w:color w:val="auto"/>
        </w:rPr>
      </w:pPr>
    </w:p>
    <w:p>
      <w:pPr>
        <w:ind w:left="1140" w:right="320" w:hanging="383"/>
        <w:spacing w:after="0" w:line="282"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up to 75,000,000 shares of Preferred Stock, with any rights, preferences, and privileges as they may designate, including the right to approve an acquisition or other change of control;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is classified into three classes of directors;</w:t>
      </w:r>
    </w:p>
    <w:p>
      <w:pPr>
        <w:spacing w:after="0" w:line="117" w:lineRule="exact"/>
        <w:rPr>
          <w:rFonts w:ascii="Times New Roman" w:cs="Times New Roman" w:eastAsia="Times New Roman" w:hAnsi="Times New Roman"/>
          <w:sz w:val="18"/>
          <w:szCs w:val="18"/>
          <w:color w:val="auto"/>
        </w:rPr>
      </w:pPr>
    </w:p>
    <w:p>
      <w:pPr>
        <w:ind w:left="1140" w:right="60" w:hanging="383"/>
        <w:spacing w:after="0" w:line="266"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p>
      <w:pPr>
        <w:spacing w:after="0" w:line="6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3" w:lineRule="exact"/>
        <w:rPr>
          <w:rFonts w:ascii="Times New Roman" w:cs="Times New Roman" w:eastAsia="Times New Roman" w:hAnsi="Times New Roman"/>
          <w:sz w:val="18"/>
          <w:szCs w:val="18"/>
          <w:color w:val="auto"/>
        </w:rPr>
      </w:pPr>
    </w:p>
    <w:p>
      <w:pPr>
        <w:ind w:left="1140" w:right="880" w:hanging="383"/>
        <w:spacing w:after="0" w:line="282"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the Company’s stockholders must be effected at a duly called annual or special meeting of stockholders and not be taken by written consent or electronic transmission;</w:t>
      </w:r>
    </w:p>
    <w:p>
      <w:pPr>
        <w:spacing w:after="0" w:line="53" w:lineRule="exact"/>
        <w:rPr>
          <w:rFonts w:ascii="Times New Roman" w:cs="Times New Roman" w:eastAsia="Times New Roman" w:hAnsi="Times New Roman"/>
          <w:sz w:val="18"/>
          <w:szCs w:val="18"/>
          <w:color w:val="auto"/>
        </w:rPr>
      </w:pPr>
    </w:p>
    <w:p>
      <w:pPr>
        <w:ind w:left="1140" w:right="180" w:hanging="383"/>
        <w:spacing w:after="0" w:line="266"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7"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Company’s stockholders may be called only by the chairperson of the Board, the Company’s Chief Executive Officer or by the Board pursuant to a resolution adopted by a majority of the total number of authorized directors; and</w:t>
      </w:r>
    </w:p>
    <w:p>
      <w:pPr>
        <w:spacing w:after="0" w:line="53"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voting power of the stock of the Company entitled to vote in any election of directors to elect all of the directors standing for election, if they should so choose.</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86"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Charter and the Bylaws provide that special meetings of the Company’s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Bylaws provide that stockholders seeking to nominate candidates for election to the Board or to bring business before the Company’s annual meeting of stockholders, must provide timely notice of their intent in writing. To be timely under the Bylaws, a stockholder’s notice needs to be received by the Secretary of the Company at the Company’s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the Company’s stockholders from bringing matters before its annual meeting of stockholders or from making nominations for directors at our annual meeting of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 Selection</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color w:val="auto"/>
        </w:rPr>
        <w:t>The Charter provides that unless the Company consents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w:t>
      </w:r>
    </w:p>
    <w:p>
      <w:pPr>
        <w:spacing w:after="0" w:line="5" w:lineRule="exact"/>
        <w:rPr>
          <w:sz w:val="20"/>
          <w:szCs w:val="20"/>
          <w:color w:val="auto"/>
        </w:rPr>
      </w:pPr>
    </w:p>
    <w:p>
      <w:pPr>
        <w:ind w:firstLine="8"/>
        <w:spacing w:after="0" w:line="255" w:lineRule="auto"/>
        <w:tabs>
          <w:tab w:leader="none" w:pos="2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opted out of the provisions of Section 203 of the DGCL regulating corporate takeovers under the Charter. This statute prevents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corporations, under certain circumstances, from engaging in a “business combination” with:</w:t>
      </w:r>
    </w:p>
    <w:p>
      <w:pPr>
        <w:spacing w:after="0" w:line="99" w:lineRule="exact"/>
        <w:rPr>
          <w:sz w:val="20"/>
          <w:szCs w:val="20"/>
          <w:color w:val="auto"/>
        </w:rPr>
      </w:pPr>
    </w:p>
    <w:p>
      <w:pPr>
        <w:ind w:left="1140" w:hanging="383"/>
        <w:spacing w:after="0"/>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the Company’s outstanding voting stock (otherwise known as an “interested stockholder”);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11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the Company’s assets. However, the above provisions of Section 203 do not apply if:</w:t>
      </w:r>
    </w:p>
    <w:p>
      <w:pPr>
        <w:spacing w:after="0" w:line="54" w:lineRule="exact"/>
        <w:rPr>
          <w:sz w:val="20"/>
          <w:szCs w:val="20"/>
          <w:color w:val="auto"/>
        </w:rPr>
      </w:pPr>
    </w:p>
    <w:p>
      <w:pPr>
        <w:ind w:left="1140" w:hanging="383"/>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prior to the date of the transaction;</w:t>
      </w:r>
    </w:p>
    <w:p>
      <w:pPr>
        <w:spacing w:after="0" w:line="117" w:lineRule="exact"/>
        <w:rPr>
          <w:rFonts w:ascii="Times New Roman" w:cs="Times New Roman" w:eastAsia="Times New Roman" w:hAnsi="Times New Roman"/>
          <w:sz w:val="18"/>
          <w:szCs w:val="18"/>
          <w:color w:val="auto"/>
        </w:rPr>
      </w:pPr>
    </w:p>
    <w:p>
      <w:pPr>
        <w:jc w:val="both"/>
        <w:ind w:left="1140" w:right="120" w:hanging="383"/>
        <w:spacing w:after="0" w:line="266" w:lineRule="auto"/>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p>
      <w:pPr>
        <w:spacing w:after="0" w:line="6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the Board and authorized at a meeting of the Company’s stockholders, and not by written consent, by an affirmative vote of at least two-thirds of the outstanding voting stock not owned by the interested stockholder.</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Business Corporation Act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79" w:lineRule="exact"/>
        <w:rPr>
          <w:sz w:val="20"/>
          <w:szCs w:val="20"/>
          <w:color w:val="auto"/>
        </w:rPr>
      </w:pPr>
    </w:p>
    <w:p>
      <w:pPr>
        <w:ind w:left="1140" w:hanging="383"/>
        <w:spacing w:after="0"/>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with, disposition of assets to, or issuance or redemption of stock to or from, the acquiring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4" w:name="page195"/>
    <w:bookmarkEnd w:id="194"/>
    <w:p>
      <w:pPr>
        <w:spacing w:after="0" w:line="86" w:lineRule="exact"/>
        <w:rPr>
          <w:sz w:val="20"/>
          <w:szCs w:val="20"/>
          <w:color w:val="auto"/>
        </w:rPr>
      </w:pPr>
    </w:p>
    <w:p>
      <w:pPr>
        <w:ind w:left="1140" w:hanging="383"/>
        <w:spacing w:after="0" w:line="282"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5% or more of the employees of the target corporation as a result of the acquiring person’s acquisition of 10% or more of the shares;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acquiring person to receive any disproportionate benefit as a stockholder.</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After the five-year period, a significant business transaction may take place as long as it complies with certain fair price provisions of the WBCA or is approved at an annual or special meeting of stockholders.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the Company meets the definition of a target corporation, the WBCA may have the effect of delaying, deferring, or preventing a future change of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these provisions in the Charter are necessary to attract and retain qualified persons as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5" w:name="page196"/>
    <w:bookmarkEnd w:id="19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for Common Stock and the warrant agent for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 and Public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Class A Common Stock and Public Warrants are listed on Nasdaq under the symbols “BNZI” and “BNZIW,”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This Policy confirms procedures which employees, independent contractors and consultants, and directors of Banzai International,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must follow with respect to transactions in the Company’s securities including its common stock, options to purchase common stock, preferred stock, bonds and other debt securities, convertible debentures, warrants and any other types of securities the Company may issue, as well as derivative securities not issued by the Company such as exchange-traded put or call options or swaps relating to securities of the Company (collectively referred to in this Policy as “</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The Company will not trade in Company Securities in violation of applicable securities laws or stock exchange listing standards. This Policy is subject to modification from time to time as the Board deems necessary or advisable.</w:t>
      </w:r>
    </w:p>
    <w:p>
      <w:pPr>
        <w:spacing w:after="0" w:line="185" w:lineRule="exact"/>
        <w:rPr>
          <w:sz w:val="20"/>
          <w:szCs w:val="20"/>
          <w:color w:val="auto"/>
        </w:rPr>
      </w:pPr>
    </w:p>
    <w:p>
      <w:pPr>
        <w:ind w:left="720" w:hanging="352"/>
        <w:spacing w:after="0"/>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Prohibition Against Trading on Material Nonpublic Information</w:t>
      </w:r>
    </w:p>
    <w:p>
      <w:pPr>
        <w:spacing w:after="0" w:line="22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During the course of your service at the Company, you may become aware of material nonpublic information. It is difficult to describe exhaustively what constitutes “material” information, but you should assume that any information, positive or negative, which might be of significance to an investor, as part of the total mix of available information, in determining whether to purchase, sell or hold Company Securities would be material. Information may be significant for this purpose even if it would not alone determine the investor’s decision. Examples of “material” information include:</w:t>
      </w:r>
    </w:p>
    <w:p>
      <w:pPr>
        <w:spacing w:after="0" w:line="180" w:lineRule="exact"/>
        <w:rPr>
          <w:sz w:val="20"/>
          <w:szCs w:val="20"/>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financial information which departs in any way from what the market would expect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sales, earnings or dividends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important financing transaction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or other transactions relating to Company Securities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tender offers or acquisitions of other companies, or major purchases or sales of assets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management changes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by the Company of its own securities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litigation or regulatory developments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process or product developments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major customer or supplier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transactions with other companies or entities, such as joint ventures or licensing agreements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external events, including but not limited to pandemics, have had or will have a material impact on the Company’s operating results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cybersecurity incident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that this list is merely illustrative and not exhaustive.</w:t>
      </w:r>
    </w:p>
    <w:p>
      <w:pPr>
        <w:spacing w:after="0" w:line="221"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Nonpublic</w:t>
      </w:r>
      <w:r>
        <w:rPr>
          <w:rFonts w:ascii="Times New Roman" w:cs="Times New Roman" w:eastAsia="Times New Roman" w:hAnsi="Times New Roman"/>
          <w:sz w:val="18"/>
          <w:szCs w:val="18"/>
          <w:color w:val="auto"/>
        </w:rPr>
        <w:t>” information is any information that has not yet been disclosed generally to the marketplace. Information received about a company under circumstances that indicate that it is not yet in general circulation should be considered nonpublic. As a rule, you should be able to point to some fact to show that the information is generally available; for example, disclosure within a report filed by the Company with the U.S.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7" w:name="page198"/>
    <w:bookmarkEnd w:id="197"/>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Commission, issuance of a press release by the Company or announcement of the information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other news publication. Even after the Company has released information to the press or the information has been reported, at least one full Trading Day must elapse before you trade in Company Securities. For purposes of this Policy, a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Nasdaq Stock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is open for trading. For example, if the Company issues a press release containing material information at 6:00 p.m. on a Tuesday, and Nasdaq is open for trading on Wednesday, persons subject to this Policy shall not be permitted to trade in Company Securities until Thursday. If the Company issues a press release containing material information at 6:00 p.m. on a Friday, and Nasdaq is open for trading on Monday, persons subject to this Policy shall not be permitted to trade in Company Securities until Tuesday.</w:t>
      </w:r>
    </w:p>
    <w:p>
      <w:pPr>
        <w:spacing w:after="0" w:line="18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are aware of material nonpublic information regarding the Company you are prohibited from trading in Company Securities, unless such trade is made pursuant to a properly qualified, adopted and submitted Rule 10b5-1 trading plan. Rule 10b5-1 trading plans are discussed in Section 2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Policy. You also are prohibited from giving “tips” on material nonpublic information, that is directly or indirectly disclosing such information to any other person, including family members and relatives, so that they may trade in Company Securities. Furthermore, if you are aware of material nonpublic information regarding the Company, you are prohibited from gifting Company Securities. Additionally, if you learn material nonpublic information about another company with which the Company does business, such as a supplier, customer or joint venture partner, or you learn that the Company is planning a major transaction with another company (such as an acquisition), you must not trade in the securities of the other company until such information has been made public for at least one full Trading Day.</w:t>
      </w:r>
    </w:p>
    <w:p>
      <w:pPr>
        <w:spacing w:after="0" w:line="19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policy against trading securities when in possession of material nonpublic information applies to all employees and directors of the Company as well as their family members. For purposes of this Policy, a “family member” includes a person’s spouse, parents, children, siblings, mothers and fathers-in-law, sons and daughters-in-law, brothers and sisters-in-law who shares such person’s home, or who do not share such person’s home but whose transactions in Company Securities are directed by the person or are subject to the person’s influence or control (such as parents or children who consult with the person before they trade in Company Securities), and anyone (other than domestic employees) who shares such person’s home. It also applies to former employees and directors and their family members.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addition, you and your family members may not, under any circumstances, trade options for, or sell “short,” Company Securities.</w:t>
      </w:r>
    </w:p>
    <w:p>
      <w:pPr>
        <w:spacing w:after="0" w:line="210" w:lineRule="exact"/>
        <w:rPr>
          <w:sz w:val="20"/>
          <w:szCs w:val="20"/>
          <w:color w:val="auto"/>
        </w:rPr>
      </w:pPr>
    </w:p>
    <w:p>
      <w:pPr>
        <w:ind w:left="1120" w:hanging="363"/>
        <w:spacing w:after="0"/>
        <w:tabs>
          <w:tab w:leader="none" w:pos="11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10b5-1 Trading Plans</w:t>
      </w:r>
    </w:p>
    <w:p>
      <w:pPr>
        <w:spacing w:after="0" w:line="22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Rule 10b5-1 under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provides an affirmative defense against a claim of insider trading if an insider’s trades are made pursuant to a written plan that was adopted in good faith at a time when the insider was not aware of material nonpublic information. It is the Company’s policy that employees and directors may make trades pursuant to a Rule 10b5-1 plan provided that (i) such plan meets the requirements of Rule 10b5-1, as summarized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(ii) such plan was adopted at a time when the employee or director would otherwise have been able to trade under Section 3 of this Policy and (iii) adoption of the plan was expressly authorized by a member of the Company’s Legal Department. Once the plan is adopted, the insider must not exercise any influence over the amount of securities to be traded, the price at which they are to be traded or the date of the trade. Note that trades made pursuant to Rule 10b5-1 plans by executive officers and directors must still be reported to the Company’s Legal Department pursuant to the second paragraph of Section 4 below. Additionally, insiders must report any modification or termination of a Rule 10b5-1 plan to the Company’s Legal Department within one business day of such modification or termination.</w:t>
      </w:r>
    </w:p>
    <w:p>
      <w:pPr>
        <w:spacing w:after="0" w:line="190" w:lineRule="exact"/>
        <w:rPr>
          <w:sz w:val="20"/>
          <w:szCs w:val="20"/>
          <w:color w:val="auto"/>
        </w:rPr>
      </w:pPr>
    </w:p>
    <w:p>
      <w:pPr>
        <w:ind w:left="720" w:hanging="352"/>
        <w:spacing w:after="0"/>
        <w:tabs>
          <w:tab w:leader="none" w:pos="7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Permitted Trading Periods for Non-Rule 10b5-1 Trades</w:t>
      </w:r>
    </w:p>
    <w:p>
      <w:pPr>
        <w:spacing w:after="0" w:line="22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Company executive officers and directors and their family members may only trade in or gift Company Securities during the period commencing one full Trading Day following a release of quarterly results and ending on the date that is ten Trading Days prior to the end of the subsequent quarter (the “</w:t>
      </w:r>
      <w:r>
        <w:rPr>
          <w:rFonts w:ascii="Times New Roman" w:cs="Times New Roman" w:eastAsia="Times New Roman" w:hAnsi="Times New Roman"/>
          <w:sz w:val="18"/>
          <w:szCs w:val="18"/>
          <w:b w:val="1"/>
          <w:bCs w:val="1"/>
          <w:i w:val="1"/>
          <w:iCs w:val="1"/>
          <w:color w:val="auto"/>
        </w:rPr>
        <w:t>Trading Window</w:t>
      </w:r>
      <w:r>
        <w:rPr>
          <w:rFonts w:ascii="Times New Roman" w:cs="Times New Roman" w:eastAsia="Times New Roman" w:hAnsi="Times New Roman"/>
          <w:sz w:val="18"/>
          <w:szCs w:val="18"/>
          <w:color w:val="auto"/>
        </w:rPr>
        <w:t>”). Nonetheless, as mentioned above, no trade or gift of Company Securities may be made during these Trading Windows if the person covered by this Policy possesses material nonpublic information which has not been disseminated in the public market for at least one full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98" w:name="page199"/>
    <w:bookmarkEnd w:id="198"/>
    <w:p>
      <w:pPr>
        <w:ind w:firstLine="360"/>
        <w:spacing w:after="0" w:line="282" w:lineRule="auto"/>
        <w:rPr>
          <w:sz w:val="20"/>
          <w:szCs w:val="20"/>
          <w:color w:val="auto"/>
        </w:rPr>
      </w:pPr>
      <w:r>
        <w:rPr>
          <w:rFonts w:ascii="Times New Roman" w:cs="Times New Roman" w:eastAsia="Times New Roman" w:hAnsi="Times New Roman"/>
          <w:sz w:val="18"/>
          <w:szCs w:val="18"/>
          <w:color w:val="auto"/>
        </w:rPr>
        <w:t>From time to time, upon prior notice to the persons affected, the Company may impose event-specific special blackout periods during which some or all Company executive officers and directors are prohibited from trading in or gifting Company Securities.</w:t>
      </w:r>
    </w:p>
    <w:p>
      <w:pPr>
        <w:spacing w:after="0" w:line="162"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trading restrictions set forth in this Section 3 do not apply to any trades or gifts made pursuant to properly qualified, adopted and submitted Rule 10b5-1 trading plans.</w:t>
      </w:r>
    </w:p>
    <w:p>
      <w:pPr>
        <w:spacing w:after="0" w:line="160" w:lineRule="exact"/>
        <w:rPr>
          <w:sz w:val="20"/>
          <w:szCs w:val="20"/>
          <w:color w:val="auto"/>
        </w:rPr>
      </w:pPr>
    </w:p>
    <w:p>
      <w:pPr>
        <w:ind w:left="1120" w:hanging="363"/>
        <w:spacing w:after="0"/>
        <w:tabs>
          <w:tab w:leader="none" w:pos="11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Pre-clearance; Reporting Trades</w:t>
      </w:r>
    </w:p>
    <w:p>
      <w:pPr>
        <w:spacing w:after="0" w:line="2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complying with the prohibition on trading during scheduled and event-specific special blackout periods, the Company’s executive officers and directors must first obtain pre-clearance from the Company’s Legal Department before engaging in any transaction in Company Securities, including gifts. A request for pre-clearance should be submitted to the Legal Department at least 48 hours in advance of the proposed transaction. If a proposed transaction receives pre-clearance, the pre-cleared trade must be effected within 48 hours of receipt of pre-clearance. If the person becomes aware of material nonpublic information before the trade is executed, the pre-clearance is void and the trade must not be completed. Transactions not effected within the time limit become subject to pre-clearance again. If a person seeks pre-clearance and permission to engage in the transaction is denied, then he or she should refrain from initiating any transaction in Company Securities, and should not inform any other person of the restriction.</w:t>
      </w:r>
    </w:p>
    <w:p>
      <w:pPr>
        <w:spacing w:after="0" w:line="21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require that all executive officers and directors submit to the Company’s Legal Department a copy of any trade order or confirmation relating to the purchase, sale or gift of Company Securities within one business day of any such transaction. This information is necessary to enable us to monitor trading by executive officers and directors and ensure that all such trades are properly reported. Your adherence to this Policy is vital to your protection as well as the Company’s.</w:t>
      </w:r>
    </w:p>
    <w:p>
      <w:pPr>
        <w:spacing w:after="0" w:line="178" w:lineRule="exact"/>
        <w:rPr>
          <w:sz w:val="20"/>
          <w:szCs w:val="20"/>
          <w:color w:val="auto"/>
        </w:rPr>
      </w:pPr>
    </w:p>
    <w:p>
      <w:pPr>
        <w:ind w:left="1120" w:hanging="363"/>
        <w:spacing w:after="0"/>
        <w:tabs>
          <w:tab w:leader="none" w:pos="11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Transactions</w:t>
      </w:r>
    </w:p>
    <w:p>
      <w:pPr>
        <w:spacing w:after="0" w:line="227"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Hedging transactions may insulate you from upside or downside price movement in Company Securities which can result in the perception that you no longer have the same interests as the Company’s other stockholders. Accordingly, you and your family members may not enter into hedging or monetization transactions or similar arrangements with respect to Company Securities, including the purchase or sale of puts or calls or the use of any other derivative instruments.</w:t>
      </w:r>
    </w:p>
    <w:p>
      <w:pPr>
        <w:spacing w:after="0" w:line="178" w:lineRule="exact"/>
        <w:rPr>
          <w:sz w:val="20"/>
          <w:szCs w:val="20"/>
          <w:color w:val="auto"/>
        </w:rPr>
      </w:pPr>
    </w:p>
    <w:p>
      <w:pPr>
        <w:ind w:left="1120" w:hanging="363"/>
        <w:spacing w:after="0"/>
        <w:tabs>
          <w:tab w:leader="none" w:pos="11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Accounts and Pledging</w:t>
      </w:r>
    </w:p>
    <w:p>
      <w:pPr>
        <w:spacing w:after="0" w:line="22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danger, you may not hold Company Securities in a margin account nor pledge Company Securities as collateral for a loan.</w:t>
      </w:r>
    </w:p>
    <w:p>
      <w:pPr>
        <w:spacing w:after="0" w:line="205" w:lineRule="exact"/>
        <w:rPr>
          <w:sz w:val="20"/>
          <w:szCs w:val="20"/>
          <w:color w:val="auto"/>
        </w:rPr>
      </w:pPr>
    </w:p>
    <w:p>
      <w:pPr>
        <w:ind w:left="1120" w:hanging="363"/>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Short-Swing Trading/Control Stock/Section 16 Reports</w:t>
      </w:r>
    </w:p>
    <w:p>
      <w:pPr>
        <w:spacing w:after="0" w:line="22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spacing w:after="0" w:line="178" w:lineRule="exact"/>
        <w:rPr>
          <w:sz w:val="20"/>
          <w:szCs w:val="20"/>
          <w:color w:val="auto"/>
        </w:rPr>
      </w:pPr>
    </w:p>
    <w:p>
      <w:pPr>
        <w:ind w:left="720" w:hanging="352"/>
        <w:spacing w:after="0"/>
        <w:tabs>
          <w:tab w:leader="none" w:pos="7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Duration of Policy’s Applicability</w:t>
      </w:r>
    </w:p>
    <w:p>
      <w:pPr>
        <w:spacing w:after="0" w:line="22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This Policy continues to apply to your transactions in Company Securities or the securities of other public companies engaged in business transactions with the Company even after your employment or directorship with the Company has terminated. If you are in possession of material nonpublic information when your relationship with the Company concludes, you may not trade in Company Securities or the securities of such other company until the information has been publicly disseminated or is no longer material.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99" w:name="page200"/>
    <w:bookmarkEnd w:id="199"/>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THESE ARE VERY SERIOUS MATTERS. INSIDER TRADING IS ILLEGAL AND CAN RESULT IN JAIL SENTENCES AS WELL AS CIVIL PENALTIES, INCLUDING TREBLE DAMAGES. EMPLOYEES WHO VIOLATE THIS POLICY MAY BE SUBJECT TO DISCIPLINARY ACTION BY THE COMPANY, INCLUDING DISMISSAL FOR CAUSE. IF YOU HAVE ANY QUESTION OR DOUBT ABOUT THE APPLICABILITY OR INTERPRETATION OF THIS POLICY OR THE PROPRIETY OF ANY DESIRED ACTION, PLEASE SEEK CLARIFICATION FROM OUR CHAIRMAN AND CHIEF EXECUTIVE OFFICER, PRESIDENT OR CHIEF FINANCIAL OFFICER. DO NOT TRY TO RESOLVE UNCERTAINTIES ON YOUR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Guidelines for Rule 10b5-1 Trading Plans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terms not defined herein have the meanings ascribed to them in the Company’s Insider Trading Policy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effective, a Rule 10b5-1 trading plan must:</w:t>
      </w:r>
    </w:p>
    <w:p>
      <w:pPr>
        <w:spacing w:after="0" w:line="225" w:lineRule="exact"/>
        <w:rPr>
          <w:sz w:val="20"/>
          <w:szCs w:val="20"/>
          <w:color w:val="auto"/>
        </w:rPr>
      </w:pPr>
    </w:p>
    <w:p>
      <w:pPr>
        <w:jc w:val="both"/>
        <w:ind w:left="760" w:hanging="378"/>
        <w:spacing w:after="0" w:line="266" w:lineRule="auto"/>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representations certifying that (a) you are not aware of material nonpublic information at the time of adoption and (b) you are entering into the plan in good faith, and not as part of a plan or scheme to shield trades that would otherwise be considered violations of the insider trading laws;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beginning and end dates for the Rule 10b5-1 trading plan;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either (a) the amount and price of the Company securities to be purchased or sold and the dates for such purchases or sales or (b) a formula that determines the amount and price of the Company securities to be purchased or sold and the dates for such purchases or sales;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established only during an open Trading Window and when you are not otherwise subject to a blackout period;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put in place only at a broker acceptable to the Company’s Legal Department;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reviewed by the Company’s Legal Department before the Rule 10b5-1 trading plan is put in place;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subsequently modified only during an open Trading Window and with approval from the Company’s Legal Department;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modified, meet all requirements of a newly adopted plan, as if adopted on the date of modification;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terminated before the end of its term and a new plan is put into place, be implemented only during a Trading Window unless an exception is otherwise approved in advance by the Company’s Legal Department;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following “cooling-off” periods:</w:t>
      </w:r>
    </w:p>
    <w:p>
      <w:pPr>
        <w:spacing w:after="0" w:line="225" w:lineRule="exact"/>
        <w:rPr>
          <w:rFonts w:ascii="Times New Roman" w:cs="Times New Roman" w:eastAsia="Times New Roman" w:hAnsi="Times New Roman"/>
          <w:sz w:val="18"/>
          <w:szCs w:val="18"/>
          <w:color w:val="auto"/>
        </w:rPr>
      </w:pPr>
    </w:p>
    <w:p>
      <w:pPr>
        <w:jc w:val="both"/>
        <w:ind w:left="1500" w:hanging="369"/>
        <w:spacing w:after="0" w:line="261" w:lineRule="auto"/>
        <w:tabs>
          <w:tab w:leader="none" w:pos="15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Company’s directors and Section 16 officers, provide that no trade under a Rule 10b5-1 trading plan may occur until the later of (i) 90 days after the adoption of the plan or (ii) two business days after the filing of the Company’s Form 10-Q (or Form 10-K for any plan executed during the fourth fiscal quarter) for the fiscal quarter in which the plan was adopted, up to a maximum of 120 days after adoption of the plan; or</w:t>
      </w:r>
    </w:p>
    <w:p>
      <w:pPr>
        <w:spacing w:after="0" w:line="17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insiders, provide that no trade may occur until 30 days after adoption of the Rule 10b5-1 trading plan;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the sole outstanding Rule 10b5-1 trading plan for such insider, unless an exception is approved in advance by the Company’s Legal Department, after evaluating whether any such additional plan would be permitted by Rule 10b5-1;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if such Rule 10b5-1 trading plan is a single-trade plan, the sole single-trade plan within any consecutive 12-month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requires that you act in good faith with respect to the Rule 10b5-1 plan for the entire duration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80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702"/>
        </w:trPr>
        <w:tc>
          <w:tcPr>
            <w:tcW w:w="3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460" w:type="dxa"/>
            <w:vAlign w:val="bottom"/>
          </w:tcPr>
          <w:p>
            <w:pPr>
              <w:spacing w:after="0"/>
              <w:rPr>
                <w:sz w:val="24"/>
                <w:szCs w:val="24"/>
                <w:color w:val="auto"/>
              </w:rPr>
            </w:pPr>
          </w:p>
        </w:tc>
      </w:tr>
      <w:tr>
        <w:trPr>
          <w:trHeight w:val="245"/>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Banzai Operating Co LLC</w:t>
            </w:r>
          </w:p>
        </w:tc>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(f/k/a Banzai International, Inc.)</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24"/>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Demio Holding, Inc.</w:t>
            </w: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1951"/>
        </w:trPr>
        <w:tc>
          <w:tcPr>
            <w:tcW w:w="32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color w:val="auto"/>
        </w:rPr>
        <w:t>Exhibit 23.1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on Form S-8 (333-278218) of our report dated April 15, 2025, with respect to the consolidated financial statements of Banzai International, Inc. included in this Annual Report on Form 10-K for the year ended December 31,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w:t>
      </w:r>
      <w:r>
        <w:rPr>
          <w:rFonts w:ascii="Times New Roman" w:cs="Times New Roman" w:eastAsia="Times New Roman" w:hAnsi="Times New Roman"/>
          <w:sz w:val="13"/>
          <w:szCs w:val="13"/>
          <w:color w:val="auto"/>
        </w:rPr>
        <w:t>arcum</w:t>
      </w:r>
      <w:r>
        <w:rPr>
          <w:rFonts w:ascii="Times New Roman" w:cs="Times New Roman" w:eastAsia="Times New Roman" w:hAnsi="Times New Roman"/>
          <w:sz w:val="20"/>
          <w:szCs w:val="20"/>
          <w:color w:val="auto"/>
        </w:rPr>
        <w:t xml:space="preserv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Marcum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Marlton, New Jersey</w:t>
      </w:r>
    </w:p>
    <w:p>
      <w:pPr>
        <w:spacing w:after="0"/>
        <w:rPr>
          <w:sz w:val="20"/>
          <w:szCs w:val="20"/>
          <w:color w:val="auto"/>
        </w:rPr>
      </w:pPr>
      <w:r>
        <w:rPr>
          <w:rFonts w:ascii="Times New Roman" w:cs="Times New Roman" w:eastAsia="Times New Roman" w:hAnsi="Times New Roman"/>
          <w:sz w:val="20"/>
          <w:szCs w:val="20"/>
          <w:color w:val="auto"/>
        </w:rPr>
        <w:t>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1461770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Davy, certify that:</w:t>
      </w:r>
    </w:p>
    <w:p>
      <w:pPr>
        <w:spacing w:after="0" w:line="225" w:lineRule="exact"/>
        <w:rPr>
          <w:sz w:val="20"/>
          <w:szCs w:val="20"/>
          <w:color w:val="auto"/>
        </w:rPr>
      </w:pPr>
    </w:p>
    <w:p>
      <w:pPr>
        <w:ind w:left="520" w:hanging="512"/>
        <w:spacing w:after="0"/>
        <w:tabs>
          <w:tab w:leader="none" w:pos="5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April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Alvin Yip, certify that:</w:t>
      </w:r>
    </w:p>
    <w:p>
      <w:pPr>
        <w:spacing w:after="0" w:line="225" w:lineRule="exact"/>
        <w:rPr>
          <w:sz w:val="20"/>
          <w:szCs w:val="20"/>
          <w:color w:val="auto"/>
        </w:rPr>
      </w:pPr>
    </w:p>
    <w:p>
      <w:pPr>
        <w:ind w:left="520" w:hanging="512"/>
        <w:spacing w:after="0"/>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Banzai International,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April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Alvin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Alvin Yip</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Banzai International, Inc. (the “Company”) on Form 10-K for the year ended December 31, 2024, as filed with the Securities and Exchange Commission on or about the date hereof (the “Report”), I, Joseph Davy,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April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Banzai International, Inc. (the “Company”) on Form 10-K for the year ended December 31, 2024, as filed with the Securities and Exchange Commission on or about the date hereof (the “Report”), I, Alvin Yip,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April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Alvin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Alvin Yip</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RECOUPMENT OF INCENTIVE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Banzai International,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Policy on Recoupment of Incentive Compensation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which provides for the recoupment of compensation in certain circumstances in the event of a restatement of financial results by the Company. This Policy shall be interpreted to comply with the requirements of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rules and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listing standards implementing Section 954 of the Dodd-Frank Wall Street Reform and Consumer Protection Act of 2010 (the “</w:t>
      </w:r>
      <w:r>
        <w:rPr>
          <w:rFonts w:ascii="Times New Roman" w:cs="Times New Roman" w:eastAsia="Times New Roman" w:hAnsi="Times New Roman"/>
          <w:sz w:val="18"/>
          <w:szCs w:val="18"/>
          <w:u w:val="single" w:color="auto"/>
          <w:color w:val="auto"/>
        </w:rPr>
        <w:t>Dodd-Frank Act</w:t>
      </w:r>
      <w:r>
        <w:rPr>
          <w:rFonts w:ascii="Times New Roman" w:cs="Times New Roman" w:eastAsia="Times New Roman" w:hAnsi="Times New Roman"/>
          <w:sz w:val="18"/>
          <w:szCs w:val="18"/>
          <w:color w:val="auto"/>
        </w:rPr>
        <w:t>”) and, to the extent this Policy is in any manner deemed inconsistent with such rules, this Policy shall be treated as retroactively amended to be compliant with such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Any determinations made by the Committee shall be final and binding on all affected individuals. The Committee is authorized to interpret and construe this Policy and to make all determinations necessary, appropriate or advisable for the administration of this Policy, in all cases consistent with the Dodd-Frank Act. The Board or Committee may amend this Policy from time to time in its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Covered Executives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applies to any current or former “executive officer,” within the meaning of Rule 10D-1 under the Securities Exchange Act of 1934, as amended, of the Company or a subsidiary of the Company (each such individual, 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This Policy shall be binding and enforceable against all Executives and their beneficiaries, executors, administrators, and other legal representatives.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Recoupment Upon Financial Restatement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18"/>
          <w:szCs w:val="18"/>
          <w:u w:val="single" w:color="auto"/>
          <w:color w:val="auto"/>
        </w:rPr>
        <w:t>Financial Restatement</w:t>
      </w:r>
      <w:r>
        <w:rPr>
          <w:rFonts w:ascii="Times New Roman" w:cs="Times New Roman" w:eastAsia="Times New Roman" w:hAnsi="Times New Roman"/>
          <w:sz w:val="18"/>
          <w:szCs w:val="18"/>
          <w:color w:val="auto"/>
        </w:rPr>
        <w:t>”), the Committee shall cause the Company to recoup from each Executive, as promptly as reasonably possible, any erroneously awarded Incentive-Based Compensation, as defined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No-Fault Recovery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Recoupment under this Policy shall be required regardless of whether the Executive or any other person was at fault or responsible for accounting errors that contributed to the need for the Financial Restatement or engaged in any misconduct.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Subject to Recovery; Enforcement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including but not limited to performance-based cash, stock, options or other equity-based awards paid or granted to the Executive (“</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Compensation that is granted, vests or is earned based solely upon the occurrence of non-financial events, such as base salary,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8" w:name="page209"/>
    <w:bookmarkEnd w:id="208"/>
    <w:p>
      <w:pPr>
        <w:jc w:val="both"/>
        <w:spacing w:after="0" w:line="282" w:lineRule="auto"/>
        <w:rPr>
          <w:sz w:val="20"/>
          <w:szCs w:val="20"/>
          <w:color w:val="auto"/>
        </w:rPr>
      </w:pPr>
      <w:r>
        <w:rPr>
          <w:rFonts w:ascii="Times New Roman" w:cs="Times New Roman" w:eastAsia="Times New Roman" w:hAnsi="Times New Roman"/>
          <w:sz w:val="18"/>
          <w:szCs w:val="18"/>
          <w:color w:val="auto"/>
        </w:rPr>
        <w:t>stock or options with time-based vesting, or a bonus awarded solely at the discretion of the Board or Committee and not based on the attainment of any financial measure, is not subject to this Policy.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Committee. For purposes of this Policy, “</w:t>
      </w:r>
      <w:r>
        <w:rPr>
          <w:rFonts w:ascii="Times New Roman" w:cs="Times New Roman" w:eastAsia="Times New Roman" w:hAnsi="Times New Roman"/>
          <w:sz w:val="18"/>
          <w:szCs w:val="18"/>
          <w:u w:val="single" w:color="auto"/>
          <w:color w:val="auto"/>
        </w:rPr>
        <w:t>Recovery Period</w:t>
      </w:r>
      <w:r>
        <w:rPr>
          <w:rFonts w:ascii="Times New Roman" w:cs="Times New Roman" w:eastAsia="Times New Roman" w:hAnsi="Times New Roman"/>
          <w:sz w:val="18"/>
          <w:szCs w:val="18"/>
          <w:color w:val="auto"/>
        </w:rPr>
        <w:t>” means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Incentive-Based Compensation based on stock price or TSR, where the amount of erroneously awarded compensation is not subject to mathematical recalculation directly from the information in the Financial Restatement, then the Committee shall determine the amount to be recovered based on a reasonable estimate of the effect of the Financial Restatement on the stock price or TSR upon which the Incentive-Based Compensation was received and the Company shall document the determination of that estimate and provide it to Nasdaq.</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Incentive-Based Compensation is considered to have been received by an Executive in the fiscal year during which the applicable financial reporting measure was attained or purportedly attained, even if the payment or grant of such Incentive-Based Compensation occurs after the end of that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use any legal or equitable remedies that are available to the Company to recoup any erroneously awarded Incentive-Based Compensation, including but not limited to by collecting from the Executive cash payments or shares of Company common stock from or by forfeiting any amounts that the Company owes to the Executive. Executives shall be solely responsible for any tax consequences to them that result from the recoupment or recovery of any amount pursuant to this Policy, and the Company shall have no obligation to administer the Policy in a manner that avoids or minimizes any such tax consequences.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not indemnify any Executive or pay or reimburse the premium for any insurance policy to cover any losses incurred by such Executive under this Policy or any claims relating to the Company’s enforcement of rights under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recouped under this Policy shall not include Incentive-Based Compensation received by an Executive (i) prior to beginning service as an Executive or (ii) if he or she did not serve as an Executive at any time during the performance period applicable to the Incentive-Based Compensation in question. The Committee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 411(a) of the Internal Revenue Code of 1986, as amended,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Remedies Not Precluded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by the Committee of any rights pursuant to this Policy shall be without prejudice to any other rights or remedies that the Company, the Board or the Committee may have with respect to any Executive subject to this Policy, whether arising under applicable law (including pursuant to Section 304 of the Sarbanes-Oxley Act of 2002), regulation or pursuant to the terms of any other policy of the Company, employment agreement, equity award, cash incentive award or other agreement applicable to an Executive. Notwithstanding the foregoing, there shall be no duplication of recovery of the same Incentive-Based Compensation under this Policy and any other such rights or remedies.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required by the Committee, each Executive shall be required to sign and return to the Company the acknowledgement form attached hereto as Exhibit A pursuant to which such Executive will agree to be bound by the terms of, and comply with, this Policy. For the avoidance of doubt, each Executive shall be fully bound by, and must comply with, the Policy, whether or not such Executive has executed and returned such acknowledgment form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Effective Date and Applicability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Policy has been adopted by the Committee on December 14, 2023, and shall apply to any Incentive-Based Compensation that is received by an Executive on or after December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0" w:name="page211"/>
    <w:bookmarkEnd w:id="2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DODD-FRANK COMPENSATION CLAWBACK POLICY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terms used but not otherwise defined in this Acknowledgement Form (this “</w:t>
      </w:r>
      <w:r>
        <w:rPr>
          <w:rFonts w:ascii="Times New Roman" w:cs="Times New Roman" w:eastAsia="Times New Roman" w:hAnsi="Times New Roman"/>
          <w:sz w:val="18"/>
          <w:szCs w:val="18"/>
          <w:u w:val="single" w:color="auto"/>
          <w:color w:val="auto"/>
        </w:rPr>
        <w:t>Acknowledgement Form</w:t>
      </w:r>
      <w:r>
        <w:rPr>
          <w:rFonts w:ascii="Times New Roman" w:cs="Times New Roman" w:eastAsia="Times New Roman" w:hAnsi="Times New Roman"/>
          <w:sz w:val="18"/>
          <w:szCs w:val="18"/>
          <w:color w:val="auto"/>
        </w:rPr>
        <w:t>”) shall have the meanings ascribed to such terms in the Policy.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confirms and agrees that the undersigned: (i) has received and reviewed a copy of the Policy; (ii) is and will continue to be subject to the Policy and that the Policy will apply both during and after the undersigned’s employment with the Company; and (iii) will abide by the terms of the Policy, including, without limitation, by reasonably promptly returning any recoverable compensation to the Company as required by the Policy, as determined by the Compensation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-7620</wp:posOffset>
            </wp:positionV>
            <wp:extent cx="2286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 w:lineRule="exact"/>
        <w:rPr>
          <w:sz w:val="20"/>
          <w:szCs w:val="20"/>
          <w:color w:val="auto"/>
        </w:rPr>
      </w:pPr>
    </w:p>
    <w:p>
      <w:pPr>
        <w:jc w:val="center"/>
        <w:ind w:left="4860"/>
        <w:spacing w:after="0"/>
        <w:tabs>
          <w:tab w:leader="none" w:pos="220" w:val="left"/>
        </w:tabs>
        <w:rPr>
          <w:sz w:val="20"/>
          <w:szCs w:val="20"/>
          <w:color w:val="auto"/>
        </w:rPr>
      </w:pPr>
      <w:r>
        <w:rPr>
          <w:rFonts w:ascii="Times New Roman" w:cs="Times New Roman" w:eastAsia="Times New Roman" w:hAnsi="Times New Roman"/>
          <w:sz w:val="18"/>
          <w:szCs w:val="18"/>
          <w:color w:val="auto"/>
        </w:rPr>
        <w:t>Name:</w:t>
        <w:tab/>
        <w:t>[Employee]</w:t>
      </w:r>
    </w:p>
    <w:p>
      <w:pPr>
        <w:spacing w:after="0" w:line="3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-7620</wp:posOffset>
            </wp:positionV>
            <wp:extent cx="2286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1" w:name="page212"/>
    <w:bookmarkEnd w:id="2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1."/>
      <w:numFmt w:val="decimal"/>
      <w:start w:val="1"/>
    </w:lvl>
  </w:abstractNum>
  <w:abstractNum w:abstractNumId="3">
    <w:nsid w:val="A0382C5"/>
    <w:multiLevelType w:val="hybridMultilevel"/>
    <w:lvl w:ilvl="0">
      <w:lvlJc w:val="left"/>
      <w:lvlText w:val="(%1)"/>
      <w:numFmt w:val="lowerRoman"/>
      <w:start w:val="2"/>
    </w:lvl>
  </w:abstractNum>
  <w:abstractNum w:abstractNumId="4">
    <w:nsid w:val="8F2B15E"/>
    <w:multiLevelType w:val="hybridMultilevel"/>
    <w:lvl w:ilvl="0">
      <w:lvlJc w:val="left"/>
      <w:lvlText w:val="%1."/>
      <w:numFmt w:val="decimal"/>
      <w:start w:val="1"/>
    </w:lvl>
  </w:abstractNum>
  <w:abstractNum w:abstractNumId="5">
    <w:nsid w:val="1A32234B"/>
    <w:multiLevelType w:val="hybridMultilevel"/>
    <w:lvl w:ilvl="0">
      <w:lvlJc w:val="left"/>
      <w:lvlText w:val="%1."/>
      <w:numFmt w:val="decimal"/>
      <w:start w:val="3"/>
    </w:lvl>
  </w:abstractNum>
  <w:abstractNum w:abstractNumId="6">
    <w:nsid w:val="3B0FD379"/>
    <w:multiLevelType w:val="hybridMultilevel"/>
    <w:lvl w:ilvl="0">
      <w:lvlJc w:val="left"/>
      <w:lvlText w:val="%1."/>
      <w:numFmt w:val="decimal"/>
      <w:start w:val="805"/>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1)"/>
      <w:numFmt w:val="lowerRoman"/>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1)"/>
      <w:numFmt w:val="lowerRoman"/>
      <w:start w:val="4"/>
    </w:lvl>
  </w:abstractNum>
  <w:abstractNum w:abstractNumId="24">
    <w:nsid w:val="14E17E33"/>
    <w:multiLevelType w:val="hybridMultilevel"/>
    <w:lvl w:ilvl="0">
      <w:lvlJc w:val="left"/>
      <w:lvlText w:val="(%1)"/>
      <w:numFmt w:val="lowerRoman"/>
      <w:start w:val="6"/>
    </w:lvl>
  </w:abstractNum>
  <w:abstractNum w:abstractNumId="25">
    <w:nsid w:val="3222E7CD"/>
    <w:multiLevelType w:val="hybridMultilevel"/>
    <w:lvl w:ilvl="0">
      <w:lvlJc w:val="left"/>
      <w:lvlText w:val="(%1)"/>
      <w:numFmt w:val="lowerRoman"/>
      <w:start w:val="8"/>
    </w:lvl>
  </w:abstractNum>
  <w:abstractNum w:abstractNumId="26">
    <w:nsid w:val="74DE0EE3"/>
    <w:multiLevelType w:val="hybridMultilevel"/>
    <w:lvl w:ilvl="0">
      <w:lvlJc w:val="left"/>
      <w:lvlText w:val="(%1)"/>
      <w:numFmt w:val="lowerRoman"/>
      <w:start w:val="2"/>
    </w:lvl>
  </w:abstractNum>
  <w:abstractNum w:abstractNumId="27">
    <w:nsid w:val="68EBC550"/>
    <w:multiLevelType w:val="hybridMultilevel"/>
    <w:lvl w:ilvl="0">
      <w:lvlJc w:val="left"/>
      <w:lvlText w:val="(%1)"/>
      <w:numFmt w:val="decimal"/>
      <w:start w:val="2"/>
    </w:lvl>
  </w:abstractNum>
  <w:abstractNum w:abstractNumId="28">
    <w:nsid w:val="2DF6D648"/>
    <w:multiLevelType w:val="hybridMultilevel"/>
    <w:lvl w:ilvl="0">
      <w:lvlJc w:val="left"/>
      <w:lvlText w:val="(%1)"/>
      <w:numFmt w:val="lowerRoman"/>
      <w:start w:val="1"/>
    </w:lvl>
  </w:abstractNum>
  <w:abstractNum w:abstractNumId="29">
    <w:nsid w:val="46B7D447"/>
    <w:multiLevelType w:val="hybridMultilevel"/>
    <w:lvl w:ilvl="0">
      <w:lvlJc w:val="left"/>
      <w:lvlText w:val="1"/>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1)"/>
      <w:numFmt w:val="decimal"/>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1)"/>
      <w:numFmt w:val="decimal"/>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1)"/>
      <w:numFmt w:val="decimal"/>
      <w:start w:val="1"/>
    </w:lvl>
  </w:abstractNum>
  <w:abstractNum w:abstractNumId="46">
    <w:nsid w:val="6FC75AF8"/>
    <w:multiLevelType w:val="hybridMultilevel"/>
    <w:lvl w:ilvl="0">
      <w:lvlJc w:val="left"/>
      <w:lvlText w:val="(%1)"/>
      <w:numFmt w:val="decimal"/>
      <w:start w:val="1"/>
    </w:lvl>
  </w:abstractNum>
  <w:abstractNum w:abstractNumId="47">
    <w:nsid w:val="6A5F7029"/>
    <w:multiLevelType w:val="hybridMultilevel"/>
    <w:lvl w:ilvl="0">
      <w:lvlJc w:val="left"/>
      <w:lvlText w:val="(%1)"/>
      <w:numFmt w:val="decimal"/>
      <w:start w:val="4"/>
    </w:lvl>
  </w:abstractNum>
  <w:abstractNum w:abstractNumId="48">
    <w:nsid w:val="7D5E18F8"/>
    <w:multiLevelType w:val="hybridMultilevel"/>
    <w:lvl w:ilvl="0">
      <w:lvlJc w:val="left"/>
      <w:lvlText w:val="(%1)"/>
      <w:numFmt w:val="decimal"/>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1)"/>
      <w:numFmt w:val="decimal"/>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1)"/>
      <w:numFmt w:val="decimal"/>
      <w:start w:val="1"/>
    </w:lvl>
  </w:abstractNum>
  <w:abstractNum w:abstractNumId="57">
    <w:nsid w:val="9DAF632"/>
    <w:multiLevelType w:val="hybridMultilevel"/>
    <w:lvl w:ilvl="0">
      <w:lvlJc w:val="left"/>
      <w:lvlText w:val="(%1)"/>
      <w:numFmt w:val="decimal"/>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1)"/>
      <w:numFmt w:val="decimal"/>
      <w:start w:val="1"/>
    </w:lvl>
  </w:abstractNum>
  <w:abstractNum w:abstractNumId="60">
    <w:nsid w:val="5092CA79"/>
    <w:multiLevelType w:val="hybridMultilevel"/>
    <w:lvl w:ilvl="0">
      <w:lvlJc w:val="left"/>
      <w:lvlText w:val="(%1)"/>
      <w:numFmt w:val="decimal"/>
      <w:start w:val="2"/>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1)"/>
      <w:numFmt w:val="decimal"/>
      <w:start w:val="3"/>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1)"/>
      <w:numFmt w:val="decimal"/>
      <w:start w:val="1"/>
    </w:lvl>
  </w:abstractNum>
  <w:abstractNum w:abstractNumId="69">
    <w:nsid w:val="53584BCB"/>
    <w:multiLevelType w:val="hybridMultilevel"/>
    <w:lvl w:ilvl="0">
      <w:lvlJc w:val="left"/>
      <w:lvlText w:val="(%1)"/>
      <w:numFmt w:val="lowerRoman"/>
      <w:start w:val="3"/>
    </w:lvl>
  </w:abstractNum>
  <w:abstractNum w:abstractNumId="70">
    <w:nsid w:val="415E286C"/>
    <w:multiLevelType w:val="hybridMultilevel"/>
    <w:lvl w:ilvl="0">
      <w:lvlJc w:val="left"/>
      <w:lvlText w:val="(%1)"/>
      <w:numFmt w:val="lowerRoman"/>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quot;"/>
      <w:numFmt w:val="bullet"/>
      <w:start w:val="1"/>
    </w:lvl>
  </w:abstractNum>
  <w:abstractNum w:abstractNumId="74">
    <w:nsid w:val="5C10FE21"/>
    <w:multiLevelType w:val="hybridMultilevel"/>
    <w:lvl w:ilvl="0">
      <w:lvlJc w:val="left"/>
      <w:lvlText w:val="(%1)"/>
      <w:numFmt w:val="decimal"/>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1)"/>
      <w:numFmt w:val="lowerRoman"/>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1)"/>
      <w:numFmt w:val="lowerLetter"/>
      <w:start w:val="1"/>
    </w:lvl>
  </w:abstractNum>
  <w:abstractNum w:abstractNumId="81">
    <w:nsid w:val="6C80EC70"/>
    <w:multiLevelType w:val="hybridMultilevel"/>
    <w:lvl w:ilvl="0">
      <w:lvlJc w:val="left"/>
      <w:lvlText w:val="(%1)"/>
      <w:numFmt w:val="lowerRoman"/>
      <w:start w:val="1"/>
    </w:lvl>
  </w:abstractNum>
  <w:abstractNum w:abstractNumId="82">
    <w:nsid w:val="379E21B5"/>
    <w:multiLevelType w:val="hybridMultilevel"/>
    <w:lvl w:ilvl="0">
      <w:lvlJc w:val="left"/>
      <w:lvlText w:val="1"/>
      <w:numFmt w:val="bullet"/>
      <w:start w:val="1"/>
    </w:lvl>
  </w:abstractNum>
  <w:abstractNum w:abstractNumId="83">
    <w:nsid w:val="69E373"/>
    <w:multiLevelType w:val="hybridMultilevel"/>
    <w:lvl w:ilvl="0">
      <w:lvlJc w:val="left"/>
      <w:lvlText w:val="(%1)"/>
      <w:numFmt w:val="decimal"/>
      <w:start w:val="360"/>
    </w:lvl>
  </w:abstractNum>
  <w:abstractNum w:abstractNumId="84">
    <w:nsid w:val="2C27173B"/>
    <w:multiLevelType w:val="hybridMultilevel"/>
    <w:lvl w:ilvl="0">
      <w:lvlJc w:val="left"/>
      <w:lvlText w:val="(%1)"/>
      <w:numFmt w:val="decimal"/>
      <w:start w:val="1"/>
    </w:lvl>
  </w:abstractNum>
  <w:abstractNum w:abstractNumId="85">
    <w:nsid w:val="4C9B0904"/>
    <w:multiLevelType w:val="hybridMultilevel"/>
    <w:lvl w:ilvl="0">
      <w:lvlJc w:val="left"/>
      <w:lvlText w:val="(%1)"/>
      <w:numFmt w:val="decimal"/>
      <w:start w:val="2"/>
    </w:lvl>
  </w:abstractNum>
  <w:abstractNum w:abstractNumId="86">
    <w:nsid w:val="6AA7B75C"/>
    <w:multiLevelType w:val="hybridMultilevel"/>
    <w:lvl w:ilvl="0">
      <w:lvlJc w:val="left"/>
      <w:lvlText w:val="(%1)"/>
      <w:numFmt w:val="lowerRoman"/>
      <w:start w:val="1"/>
    </w:lvl>
  </w:abstractNum>
  <w:abstractNum w:abstractNumId="87">
    <w:nsid w:val="1DF029D3"/>
    <w:multiLevelType w:val="hybridMultilevel"/>
    <w:lvl w:ilvl="0">
      <w:lvlJc w:val="left"/>
      <w:lvlText w:val="(%1)"/>
      <w:numFmt w:val="lowerRoman"/>
      <w:start w:val="4"/>
    </w:lvl>
  </w:abstractNum>
  <w:abstractNum w:abstractNumId="88">
    <w:nsid w:val="5675FF36"/>
    <w:multiLevelType w:val="hybridMultilevel"/>
    <w:lvl w:ilvl="0">
      <w:lvlJc w:val="left"/>
      <w:lvlText w:val="(%1)"/>
      <w:numFmt w:val="lowerRoman"/>
      <w:start w:val="5"/>
    </w:lvl>
  </w:abstractNum>
  <w:abstractNum w:abstractNumId="89">
    <w:nsid w:val="3DD15094"/>
    <w:multiLevelType w:val="hybridMultilevel"/>
    <w:lvl w:ilvl="0">
      <w:lvlJc w:val="left"/>
      <w:lvlText w:val="(%1)"/>
      <w:numFmt w:val="lowerRoman"/>
      <w:start w:val="9"/>
    </w:lvl>
  </w:abstractNum>
  <w:abstractNum w:abstractNumId="90">
    <w:nsid w:val="3DB012B3"/>
    <w:multiLevelType w:val="hybridMultilevel"/>
    <w:lvl w:ilvl="0">
      <w:lvlJc w:val="left"/>
      <w:lvlText w:val="(%1)"/>
      <w:numFmt w:val="decimal"/>
      <w:start w:val="3"/>
    </w:lvl>
    <w:lvl w:ilvl="1">
      <w:lvlJc w:val="left"/>
      <w:lvlText w:val="(%2)"/>
      <w:numFmt w:val="decimal"/>
      <w:start w:val="3"/>
    </w:lvl>
  </w:abstractNum>
  <w:abstractNum w:abstractNumId="91">
    <w:nsid w:val="2708C9AF"/>
    <w:multiLevelType w:val="hybridMultilevel"/>
    <w:lvl w:ilvl="0">
      <w:lvlJc w:val="left"/>
      <w:lvlText w:val="(%1)"/>
      <w:numFmt w:val="lowerLetter"/>
      <w:start w:val="2"/>
    </w:lvl>
    <w:lvl w:ilvl="1">
      <w:lvlJc w:val="left"/>
      <w:lvlText w:val="(%2)"/>
      <w:numFmt w:val="lowerLetter"/>
      <w:start w:val="9"/>
    </w:lvl>
  </w:abstractNum>
  <w:abstractNum w:abstractNumId="92">
    <w:nsid w:val="5B25ACE2"/>
    <w:multiLevelType w:val="hybridMultilevel"/>
    <w:lvl w:ilvl="0">
      <w:lvlJc w:val="left"/>
      <w:lvlText w:val="%1"/>
      <w:numFmt w:val="decimal"/>
      <w:start w:val="1"/>
    </w:lvl>
    <w:lvl w:ilvl="1">
      <w:lvlJc w:val="left"/>
      <w:lvlText w:val="(%2)"/>
      <w:numFmt w:val="lowerRoman"/>
      <w:start w:val="2"/>
    </w:lvl>
  </w:abstractNum>
  <w:abstractNum w:abstractNumId="93">
    <w:nsid w:val="175DFCF0"/>
    <w:multiLevelType w:val="hybridMultilevel"/>
    <w:lvl w:ilvl="0">
      <w:lvlJc w:val="left"/>
      <w:lvlText w:val="(%1)"/>
      <w:numFmt w:val="decimal"/>
      <w:start w:val="3"/>
    </w:lvl>
    <w:lvl w:ilvl="1">
      <w:lvlJc w:val="left"/>
      <w:lvlText w:val="%2"/>
      <w:numFmt w:val="lowerRoman"/>
      <w:start w:val="1"/>
    </w:lvl>
  </w:abstractNum>
  <w:abstractNum w:abstractNumId="94">
    <w:nsid w:val="4F97E3E4"/>
    <w:multiLevelType w:val="hybridMultilevel"/>
    <w:lvl w:ilvl="0">
      <w:lvlJc w:val="left"/>
      <w:lvlText w:val="%1"/>
      <w:numFmt w:val="lowerLetter"/>
      <w:start w:val="1"/>
    </w:lvl>
    <w:lvl w:ilvl="1">
      <w:lvlJc w:val="left"/>
      <w:lvlText w:val="(%2)"/>
      <w:numFmt w:val="lowerLetter"/>
      <w:start w:val="61"/>
    </w:lvl>
  </w:abstractNum>
  <w:abstractNum w:abstractNumId="95">
    <w:nsid w:val="53B0A9E"/>
    <w:multiLevelType w:val="hybridMultilevel"/>
    <w:lvl w:ilvl="0">
      <w:lvlJc w:val="left"/>
      <w:lvlText w:val="(%1)"/>
      <w:numFmt w:val="lowerLetter"/>
      <w:start w:val="3"/>
    </w:lvl>
    <w:lvl w:ilvl="1">
      <w:lvlJc w:val="left"/>
      <w:lvlText w:val="(%2)"/>
      <w:numFmt w:val="lowerLetter"/>
      <w:start w:val="9"/>
    </w:lvl>
  </w:abstractNum>
  <w:abstractNum w:abstractNumId="96">
    <w:nsid w:val="34FD6B4F"/>
    <w:multiLevelType w:val="hybridMultilevel"/>
    <w:lvl w:ilvl="0">
      <w:lvlJc w:val="left"/>
      <w:lvlText w:val="(%1)"/>
      <w:numFmt w:val="lowerRoman"/>
      <w:start w:val="2"/>
    </w:lvl>
  </w:abstractNum>
  <w:abstractNum w:abstractNumId="97">
    <w:nsid w:val="5915FF32"/>
    <w:multiLevelType w:val="hybridMultilevel"/>
    <w:lvl w:ilvl="0">
      <w:lvlJc w:val="left"/>
      <w:lvlText w:val="(%1)"/>
      <w:numFmt w:val="lowerLetter"/>
      <w:start w:val="4"/>
    </w:lvl>
    <w:lvl w:ilvl="1">
      <w:lvlJc w:val="left"/>
      <w:lvlText w:val="(%2)"/>
      <w:numFmt w:val="lowerLetter"/>
      <w:start w:val="9"/>
    </w:lvl>
  </w:abstractNum>
  <w:abstractNum w:abstractNumId="98">
    <w:nsid w:val="56438D15"/>
    <w:multiLevelType w:val="hybridMultilevel"/>
    <w:lvl w:ilvl="0">
      <w:lvlJc w:val="left"/>
      <w:lvlText w:val="(%1)"/>
      <w:numFmt w:val="lowerRoman"/>
      <w:start w:val="2"/>
    </w:lvl>
  </w:abstractNum>
  <w:abstractNum w:abstractNumId="99">
    <w:nsid w:val="519E3149"/>
    <w:multiLevelType w:val="hybridMultilevel"/>
    <w:lvl w:ilvl="0">
      <w:lvlJc w:val="left"/>
      <w:lvlText w:val="(%1)"/>
      <w:numFmt w:val="lowerRoman"/>
      <w:start w:val="3"/>
    </w:lvl>
  </w:abstractNum>
  <w:abstractNum w:abstractNumId="100">
    <w:nsid w:val="2C6E4AFD"/>
    <w:multiLevelType w:val="hybridMultilevel"/>
    <w:lvl w:ilvl="0">
      <w:lvlJc w:val="left"/>
      <w:lvlText w:val="(%1)"/>
      <w:numFmt w:val="upperLetter"/>
      <w:start w:val="1"/>
    </w:lvl>
  </w:abstractNum>
  <w:abstractNum w:abstractNumId="101">
    <w:nsid w:val="17A1B582"/>
    <w:multiLevelType w:val="hybridMultilevel"/>
    <w:lvl w:ilvl="0">
      <w:lvlJc w:val="left"/>
      <w:lvlText w:val="(%1)"/>
      <w:numFmt w:val="decimal"/>
      <w:start w:val="4"/>
    </w:lvl>
  </w:abstractNum>
  <w:abstractNum w:abstractNumId="102">
    <w:nsid w:val="4DF72E4E"/>
    <w:multiLevelType w:val="hybridMultilevel"/>
    <w:lvl w:ilvl="0">
      <w:lvlJc w:val="left"/>
      <w:lvlText w:val="(%1)"/>
      <w:numFmt w:val="lowerRoman"/>
      <w:start w:val="2"/>
    </w:lvl>
  </w:abstractNum>
  <w:abstractNum w:abstractNumId="103">
    <w:nsid w:val="5046B5A9"/>
    <w:multiLevelType w:val="hybridMultilevel"/>
    <w:lvl w:ilvl="0">
      <w:lvlJc w:val="left"/>
      <w:lvlText w:val="(%1)"/>
      <w:numFmt w:val="decimal"/>
      <w:start w:val="5"/>
    </w:lvl>
  </w:abstractNum>
  <w:abstractNum w:abstractNumId="104">
    <w:nsid w:val="5D888A08"/>
    <w:multiLevelType w:val="hybridMultilevel"/>
    <w:lvl w:ilvl="0">
      <w:lvlJc w:val="left"/>
      <w:lvlText w:val="%1"/>
      <w:numFmt w:val="lowerRoman"/>
      <w:start w:val="1"/>
    </w:lvl>
    <w:lvl w:ilvl="1">
      <w:lvlJc w:val="left"/>
      <w:lvlText w:val="(%2)"/>
      <w:numFmt w:val="decimal"/>
      <w:start w:val="6"/>
    </w:lvl>
  </w:abstractNum>
  <w:abstractNum w:abstractNumId="105">
    <w:nsid w:val="2A082C70"/>
    <w:multiLevelType w:val="hybridMultilevel"/>
    <w:lvl w:ilvl="0">
      <w:lvlJc w:val="left"/>
      <w:lvlText w:val="(%1)"/>
      <w:numFmt w:val="lowerRoman"/>
      <w:start w:val="2"/>
    </w:lvl>
    <w:lvl w:ilvl="1">
      <w:lvlJc w:val="left"/>
      <w:lvlText w:val="(%2)"/>
      <w:numFmt w:val="decimal"/>
      <w:start w:val="7"/>
    </w:lvl>
  </w:abstractNum>
  <w:abstractNum w:abstractNumId="106">
    <w:nsid w:val="5EC6AFD4"/>
    <w:multiLevelType w:val="hybridMultilevel"/>
    <w:lvl w:ilvl="0">
      <w:lvlJc w:val="left"/>
      <w:lvlText w:val="(%1)"/>
      <w:numFmt w:val="lowerLetter"/>
      <w:start w:val="2"/>
    </w:lvl>
    <w:lvl w:ilvl="1">
      <w:lvlJc w:val="left"/>
      <w:lvlText w:val="(%2)"/>
      <w:numFmt w:val="lowerRoman"/>
      <w:start w:val="1"/>
    </w:lvl>
  </w:abstractNum>
  <w:abstractNum w:abstractNumId="107">
    <w:nsid w:val="19E21BB2"/>
    <w:multiLevelType w:val="hybridMultilevel"/>
    <w:lvl w:ilvl="0">
      <w:lvlJc w:val="left"/>
      <w:lvlText w:val="(%1)"/>
      <w:numFmt w:val="lowerRoman"/>
      <w:start w:val="4"/>
    </w:lvl>
  </w:abstractNum>
  <w:abstractNum w:abstractNumId="108">
    <w:nsid w:val="75E0858A"/>
    <w:multiLevelType w:val="hybridMultilevel"/>
    <w:lvl w:ilvl="0">
      <w:lvlJc w:val="left"/>
      <w:lvlText w:val="%1"/>
      <w:numFmt w:val="lowerRoman"/>
      <w:start w:val="1"/>
    </w:lvl>
    <w:lvl w:ilvl="1">
      <w:lvlJc w:val="left"/>
      <w:lvlText w:val="(%2)"/>
      <w:numFmt w:val="decimal"/>
      <w:start w:val="9"/>
    </w:lvl>
  </w:abstractNum>
  <w:abstractNum w:abstractNumId="109">
    <w:nsid w:val="57A61A29"/>
    <w:multiLevelType w:val="hybridMultilevel"/>
    <w:lvl w:ilvl="0">
      <w:lvlJc w:val="left"/>
      <w:lvlText w:val="(%1)"/>
      <w:numFmt w:val="lowerRoman"/>
      <w:start w:val="2"/>
    </w:lvl>
    <w:lvl w:ilvl="1">
      <w:lvlJc w:val="left"/>
      <w:lvlText w:val="%2"/>
      <w:numFmt w:val="decimal"/>
      <w:start w:val="1"/>
    </w:lvl>
  </w:abstractNum>
  <w:abstractNum w:abstractNumId="110">
    <w:nsid w:val="5399C654"/>
    <w:multiLevelType w:val="hybridMultilevel"/>
    <w:lvl w:ilvl="0">
      <w:lvlJc w:val="left"/>
      <w:lvlText w:val="(%1)"/>
      <w:numFmt w:val="decimal"/>
      <w:start w:val="10"/>
    </w:lvl>
  </w:abstractNum>
  <w:abstractNum w:abstractNumId="111">
    <w:nsid w:val="20EE1348"/>
    <w:multiLevelType w:val="hybridMultilevel"/>
    <w:lvl w:ilvl="0">
      <w:lvlJc w:val="left"/>
      <w:lvlText w:val="(%1)"/>
      <w:numFmt w:val="decimal"/>
      <w:start w:val="11"/>
    </w:lvl>
  </w:abstractNum>
  <w:abstractNum w:abstractNumId="112">
    <w:nsid w:val="4427069A"/>
    <w:multiLevelType w:val="hybridMultilevel"/>
    <w:lvl w:ilvl="0">
      <w:lvlJc w:val="left"/>
      <w:lvlText w:val="(%1)"/>
      <w:numFmt w:val="lowerLetter"/>
      <w:start w:val="2"/>
    </w:lvl>
  </w:abstractNum>
  <w:abstractNum w:abstractNumId="113">
    <w:nsid w:val="B37E80A"/>
    <w:multiLevelType w:val="hybridMultilevel"/>
    <w:lvl w:ilvl="0">
      <w:lvlJc w:val="left"/>
      <w:lvlText w:val="(%1)"/>
      <w:numFmt w:val="lowerLetter"/>
      <w:start w:val="3"/>
    </w:lvl>
  </w:abstractNum>
  <w:abstractNum w:abstractNumId="114">
    <w:nsid w:val="2157F6BC"/>
    <w:multiLevelType w:val="hybridMultilevel"/>
    <w:lvl w:ilvl="0">
      <w:lvlJc w:val="left"/>
      <w:lvlText w:val="(%1)"/>
      <w:numFmt w:val="lowerLetter"/>
      <w:start w:val="6"/>
    </w:lvl>
  </w:abstractNum>
  <w:abstractNum w:abstractNumId="115">
    <w:nsid w:val="704E1DD5"/>
    <w:multiLevelType w:val="hybridMultilevel"/>
    <w:lvl w:ilvl="0">
      <w:lvlJc w:val="left"/>
      <w:lvlText w:val="(%1)"/>
      <w:numFmt w:val="lowerRoman"/>
      <w:start w:val="1"/>
    </w:lvl>
  </w:abstractNum>
  <w:abstractNum w:abstractNumId="116">
    <w:nsid w:val="57D2F10E"/>
    <w:multiLevelType w:val="hybridMultilevel"/>
    <w:lvl w:ilvl="0">
      <w:lvlJc w:val="left"/>
      <w:lvlText w:val="(%1)"/>
      <w:numFmt w:val="lowerLetter"/>
      <w:start w:val="3"/>
    </w:lvl>
  </w:abstractNum>
  <w:abstractNum w:abstractNumId="117">
    <w:nsid w:val="BFFAE18"/>
    <w:multiLevelType w:val="hybridMultilevel"/>
    <w:lvl w:ilvl="0">
      <w:lvlJc w:val="left"/>
      <w:lvlText w:val="(%1)"/>
      <w:numFmt w:val="lowerLetter"/>
      <w:start w:val="11"/>
    </w:lvl>
  </w:abstractNum>
  <w:abstractNum w:abstractNumId="118">
    <w:nsid w:val="E3E47A8"/>
    <w:multiLevelType w:val="hybridMultilevel"/>
    <w:lvl w:ilvl="0">
      <w:lvlJc w:val="left"/>
      <w:lvlText w:val="(%1)"/>
      <w:numFmt w:val="lowerLetter"/>
      <w:start w:val="14"/>
    </w:lvl>
  </w:abstractNum>
  <w:abstractNum w:abstractNumId="119">
    <w:nsid w:val="2E48F044"/>
    <w:multiLevelType w:val="hybridMultilevel"/>
    <w:lvl w:ilvl="0">
      <w:lvlJc w:val="left"/>
      <w:lvlText w:val="(%1)"/>
      <w:numFmt w:val="lowerLetter"/>
      <w:start w:val="16"/>
    </w:lvl>
  </w:abstractNum>
  <w:abstractNum w:abstractNumId="120">
    <w:nsid w:val="49D0FEAC"/>
    <w:multiLevelType w:val="hybridMultilevel"/>
    <w:lvl w:ilvl="0">
      <w:lvlJc w:val="left"/>
      <w:lvlText w:val="(%1)"/>
      <w:numFmt w:val="lowerLetter"/>
      <w:start w:val="19"/>
    </w:lvl>
  </w:abstractNum>
  <w:abstractNum w:abstractNumId="121">
    <w:nsid w:val="4BEE5A5B"/>
    <w:multiLevelType w:val="hybridMultilevel"/>
    <w:lvl w:ilvl="0">
      <w:lvlJc w:val="left"/>
      <w:lvlText w:val="(%1)"/>
      <w:numFmt w:val="lowerLetter"/>
      <w:start w:val="21"/>
    </w:lvl>
  </w:abstractNum>
  <w:abstractNum w:abstractNumId="122">
    <w:nsid w:val="5551B9F3"/>
    <w:multiLevelType w:val="hybridMultilevel"/>
    <w:lvl w:ilvl="0">
      <w:lvlJc w:val="left"/>
      <w:lvlText w:val="(%1)"/>
      <w:numFmt w:val="lowerLetter"/>
      <w:start w:val="23"/>
    </w:lvl>
  </w:abstractNum>
  <w:abstractNum w:abstractNumId="123">
    <w:nsid w:val="24F6AB8E"/>
    <w:multiLevelType w:val="hybridMultilevel"/>
    <w:lvl w:ilvl="0">
      <w:lvlJc w:val="left"/>
      <w:lvlText w:val="(%1)"/>
      <w:numFmt w:val="lowerLetter"/>
      <w:start w:val="25"/>
    </w:lvl>
  </w:abstractNum>
  <w:abstractNum w:abstractNumId="124">
    <w:nsid w:val="634C574C"/>
    <w:multiLevelType w:val="hybridMultilevel"/>
    <w:lvl w:ilvl="0">
      <w:lvlJc w:val="left"/>
      <w:lvlText w:val="(%1)"/>
      <w:numFmt w:val="lowerLetter"/>
      <w:start w:val="27"/>
    </w:lvl>
  </w:abstractNum>
  <w:abstractNum w:abstractNumId="125">
    <w:nsid w:val="24E99DD7"/>
    <w:multiLevelType w:val="hybridMultilevel"/>
    <w:lvl w:ilvl="0">
      <w:lvlJc w:val="left"/>
      <w:lvlText w:val="(%1)"/>
      <w:numFmt w:val="lowerLetter"/>
      <w:start w:val="9"/>
    </w:lvl>
    <w:lvl w:ilvl="1">
      <w:lvlJc w:val="left"/>
      <w:lvlText w:val="(%2)"/>
      <w:numFmt w:val="lowerLetter"/>
      <w:start w:val="34"/>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1)"/>
      <w:numFmt w:val="decimal"/>
      <w:start w:val="5"/>
    </w:lvl>
  </w:abstractNum>
  <w:abstractNum w:abstractNumId="128">
    <w:nsid w:val="7DFF9D09"/>
    <w:multiLevelType w:val="hybridMultilevel"/>
    <w:lvl w:ilvl="0">
      <w:lvlJc w:val="left"/>
      <w:lvlText w:val="(%1)"/>
      <w:numFmt w:val="lowerRoman"/>
      <w:start w:val="3"/>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1)"/>
      <w:numFmt w:val="lowerLetter"/>
      <w:start w:val="6"/>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
      <w:numFmt w:val="bullet"/>
      <w:start w:val="1"/>
    </w:lvl>
  </w:abstractNum>
  <w:abstractNum w:abstractNumId="137">
    <w:nsid w:val="597B4D84"/>
    <w:multiLevelType w:val="hybridMultilevel"/>
    <w:lvl w:ilvl="0">
      <w:lvlJc w:val="left"/>
      <w:lvlText w:val="%1."/>
      <w:numFmt w:val="decimal"/>
      <w:start w:val="1"/>
    </w:lvl>
  </w:abstractNum>
  <w:abstractNum w:abstractNumId="138">
    <w:nsid w:val="F819E7F"/>
    <w:multiLevelType w:val="hybridMultilevel"/>
    <w:lvl w:ilvl="0">
      <w:lvlJc w:val="left"/>
      <w:lvlText w:val="•"/>
      <w:numFmt w:val="bullet"/>
      <w:start w:val="1"/>
    </w:lvl>
  </w:abstractNum>
  <w:abstractNum w:abstractNumId="139">
    <w:nsid w:val="57C7D42D"/>
    <w:multiLevelType w:val="hybridMultilevel"/>
    <w:lvl w:ilvl="0">
      <w:lvlJc w:val="left"/>
      <w:lvlText w:val="\ldblquote"/>
      <w:numFmt w:val="bullet"/>
      <w:start w:val="1"/>
    </w:lvl>
  </w:abstractNum>
  <w:abstractNum w:abstractNumId="140">
    <w:nsid w:val="312167AD"/>
    <w:multiLevelType w:val="hybridMultilevel"/>
    <w:lvl w:ilvl="0">
      <w:lvlJc w:val="left"/>
      <w:lvlText w:val="%1."/>
      <w:numFmt w:val="decimal"/>
      <w:start w:val="2"/>
    </w:lvl>
  </w:abstractNum>
  <w:abstractNum w:abstractNumId="141">
    <w:nsid w:val="631B64D4"/>
    <w:multiLevelType w:val="hybridMultilevel"/>
    <w:lvl w:ilvl="0">
      <w:lvlJc w:val="left"/>
      <w:lvlText w:val="%1."/>
      <w:numFmt w:val="decimal"/>
      <w:start w:val="3"/>
    </w:lvl>
  </w:abstractNum>
  <w:abstractNum w:abstractNumId="142">
    <w:nsid w:val="78B5E776"/>
    <w:multiLevelType w:val="hybridMultilevel"/>
    <w:lvl w:ilvl="0">
      <w:lvlJc w:val="left"/>
      <w:lvlText w:val="%1."/>
      <w:numFmt w:val="decimal"/>
      <w:start w:val="4"/>
    </w:lvl>
  </w:abstractNum>
  <w:abstractNum w:abstractNumId="143">
    <w:nsid w:val="75486E47"/>
    <w:multiLevelType w:val="hybridMultilevel"/>
    <w:lvl w:ilvl="0">
      <w:lvlJc w:val="left"/>
      <w:lvlText w:val="%1."/>
      <w:numFmt w:val="decimal"/>
      <w:start w:val="5"/>
    </w:lvl>
  </w:abstractNum>
  <w:abstractNum w:abstractNumId="144">
    <w:nsid w:val="6E534CDE"/>
    <w:multiLevelType w:val="hybridMultilevel"/>
    <w:lvl w:ilvl="0">
      <w:lvlJc w:val="left"/>
      <w:lvlText w:val="%1."/>
      <w:numFmt w:val="decimal"/>
      <w:start w:val="6"/>
    </w:lvl>
  </w:abstractNum>
  <w:abstractNum w:abstractNumId="145">
    <w:nsid w:val="1A0DDE32"/>
    <w:multiLevelType w:val="hybridMultilevel"/>
    <w:lvl w:ilvl="0">
      <w:lvlJc w:val="left"/>
      <w:lvlText w:val="%1."/>
      <w:numFmt w:val="decimal"/>
      <w:start w:val="7"/>
    </w:lvl>
  </w:abstractNum>
  <w:abstractNum w:abstractNumId="146">
    <w:nsid w:val="65968C1C"/>
    <w:multiLevelType w:val="hybridMultilevel"/>
    <w:lvl w:ilvl="0">
      <w:lvlJc w:val="left"/>
      <w:lvlText w:val="%1."/>
      <w:numFmt w:val="decimal"/>
      <w:start w:val="8"/>
    </w:lvl>
  </w:abstractNum>
  <w:abstractNum w:abstractNumId="147">
    <w:nsid w:val="46263DEC"/>
    <w:multiLevelType w:val="hybridMultilevel"/>
    <w:lvl w:ilvl="0">
      <w:lvlJc w:val="left"/>
      <w:lvlText w:val="%1."/>
      <w:numFmt w:val="decimal"/>
      <w:start w:val="1"/>
    </w:lvl>
    <w:lvl w:ilvl="1">
      <w:lvlJc w:val="left"/>
      <w:lvlText w:val="%2."/>
      <w:numFmt w:val="lowerLetter"/>
      <w:start w:val="1"/>
    </w:lvl>
  </w:abstractNum>
  <w:abstractNum w:abstractNumId="148">
    <w:nsid w:val="260D8C4A"/>
    <w:multiLevelType w:val="hybridMultilevel"/>
    <w:lvl w:ilvl="0">
      <w:lvlJc w:val="left"/>
      <w:lvlText w:val="(%1)"/>
      <w:numFmt w:val="decimal"/>
      <w:start w:val="1"/>
    </w:lvl>
    <w:lvl w:ilvl="1">
      <w:lvlJc w:val="left"/>
      <w:lvlText w:val="(%2)"/>
      <w:numFmt w:val="lowerLetter"/>
      <w:start w:val="1"/>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41" Type="http://schemas.openxmlformats.org/officeDocument/2006/relationships/image" Target="media/image166.png"/><Relationship Id="rId242" Type="http://schemas.openxmlformats.org/officeDocument/2006/relationships/image" Target="media/image167.png"/><Relationship Id="rId249" Type="http://schemas.openxmlformats.org/officeDocument/2006/relationships/image" Target="media/image168.png"/><Relationship Id="rId250" Type="http://schemas.openxmlformats.org/officeDocument/2006/relationships/image" Target="media/image169.png"/><Relationship Id="rId251" Type="http://schemas.openxmlformats.org/officeDocument/2006/relationships/image" Target="media/image170.png"/><Relationship Id="rId252" Type="http://schemas.openxmlformats.org/officeDocument/2006/relationships/image" Target="media/image171.png"/><Relationship Id="rId253" Type="http://schemas.openxmlformats.org/officeDocument/2006/relationships/image" Target="media/image172.png"/><Relationship Id="rId254" Type="http://schemas.openxmlformats.org/officeDocument/2006/relationships/image" Target="media/image173.png"/><Relationship Id="rId255" Type="http://schemas.openxmlformats.org/officeDocument/2006/relationships/image" Target="media/image174.png"/><Relationship Id="rId256" Type="http://schemas.openxmlformats.org/officeDocument/2006/relationships/image" Target="media/image175.png"/><Relationship Id="rId257" Type="http://schemas.openxmlformats.org/officeDocument/2006/relationships/image" Target="media/image176.png"/><Relationship Id="rId258" Type="http://schemas.openxmlformats.org/officeDocument/2006/relationships/image" Target="media/image177.png"/><Relationship Id="rId259" Type="http://schemas.openxmlformats.org/officeDocument/2006/relationships/image" Target="media/image178.png"/><Relationship Id="rId260" Type="http://schemas.openxmlformats.org/officeDocument/2006/relationships/image" Target="media/image179.png"/><Relationship Id="rId261" Type="http://schemas.openxmlformats.org/officeDocument/2006/relationships/image" Target="media/image180.png"/><Relationship Id="rId262" Type="http://schemas.openxmlformats.org/officeDocument/2006/relationships/image" Target="media/image181.png"/><Relationship Id="rId263" Type="http://schemas.openxmlformats.org/officeDocument/2006/relationships/image" Target="media/image182.png"/><Relationship Id="rId264" Type="http://schemas.openxmlformats.org/officeDocument/2006/relationships/image" Target="media/image183.png"/><Relationship Id="rId265" Type="http://schemas.openxmlformats.org/officeDocument/2006/relationships/image" Target="media/image184.png"/><Relationship Id="rId266" Type="http://schemas.openxmlformats.org/officeDocument/2006/relationships/image" Target="media/image185.png"/><Relationship Id="rId267" Type="http://schemas.openxmlformats.org/officeDocument/2006/relationships/image" Target="media/image186.png"/><Relationship Id="rId268" Type="http://schemas.openxmlformats.org/officeDocument/2006/relationships/image" Target="media/image187.png"/><Relationship Id="rId269" Type="http://schemas.openxmlformats.org/officeDocument/2006/relationships/image" Target="media/image188.png"/><Relationship Id="rId270" Type="http://schemas.openxmlformats.org/officeDocument/2006/relationships/image" Target="media/image189.png"/><Relationship Id="rId271" Type="http://schemas.openxmlformats.org/officeDocument/2006/relationships/image" Target="media/image190.png"/><Relationship Id="rId272" Type="http://schemas.openxmlformats.org/officeDocument/2006/relationships/image" Target="media/image191.png"/><Relationship Id="rId273" Type="http://schemas.openxmlformats.org/officeDocument/2006/relationships/image" Target="media/image192.png"/><Relationship Id="rId274" Type="http://schemas.openxmlformats.org/officeDocument/2006/relationships/image" Target="media/image193.png"/><Relationship Id="rId275" Type="http://schemas.openxmlformats.org/officeDocument/2006/relationships/image" Target="media/image194.png"/><Relationship Id="rId276" Type="http://schemas.openxmlformats.org/officeDocument/2006/relationships/image" Target="media/image195.png"/><Relationship Id="rId277" Type="http://schemas.openxmlformats.org/officeDocument/2006/relationships/image" Target="media/image196.png"/><Relationship Id="rId278" Type="http://schemas.openxmlformats.org/officeDocument/2006/relationships/image" Target="media/image197.png"/><Relationship Id="rId279" Type="http://schemas.openxmlformats.org/officeDocument/2006/relationships/image" Target="media/image198.png"/><Relationship Id="rId280" Type="http://schemas.openxmlformats.org/officeDocument/2006/relationships/image" Target="media/image199.png"/><Relationship Id="rId281" Type="http://schemas.openxmlformats.org/officeDocument/2006/relationships/image" Target="media/image200.png"/><Relationship Id="rId282" Type="http://schemas.openxmlformats.org/officeDocument/2006/relationships/image" Target="media/image201.png"/><Relationship Id="rId283" Type="http://schemas.openxmlformats.org/officeDocument/2006/relationships/image" Target="media/image202.png"/><Relationship Id="rId284" Type="http://schemas.openxmlformats.org/officeDocument/2006/relationships/image" Target="media/image203.png"/><Relationship Id="rId285" Type="http://schemas.openxmlformats.org/officeDocument/2006/relationships/image" Target="media/image204.png"/><Relationship Id="rId286" Type="http://schemas.openxmlformats.org/officeDocument/2006/relationships/image" Target="media/image205.png"/><Relationship Id="rId287" Type="http://schemas.openxmlformats.org/officeDocument/2006/relationships/image" Target="media/image206.png"/><Relationship Id="rId288" Type="http://schemas.openxmlformats.org/officeDocument/2006/relationships/image" Target="media/image207.png"/><Relationship Id="rId289" Type="http://schemas.openxmlformats.org/officeDocument/2006/relationships/image" Target="media/image208.png"/><Relationship Id="rId290" Type="http://schemas.openxmlformats.org/officeDocument/2006/relationships/image" Target="media/image209.png"/><Relationship Id="rId291" Type="http://schemas.openxmlformats.org/officeDocument/2006/relationships/image" Target="media/image210.png"/><Relationship Id="rId292" Type="http://schemas.openxmlformats.org/officeDocument/2006/relationships/image" Target="media/image211.png"/><Relationship Id="rId293" Type="http://schemas.openxmlformats.org/officeDocument/2006/relationships/image" Target="media/image212.png"/><Relationship Id="rId294" Type="http://schemas.openxmlformats.org/officeDocument/2006/relationships/image" Target="media/image213.png"/><Relationship Id="rId295" Type="http://schemas.openxmlformats.org/officeDocument/2006/relationships/image" Target="media/image214.png"/><Relationship Id="rId296" Type="http://schemas.openxmlformats.org/officeDocument/2006/relationships/image" Target="media/image215.png"/><Relationship Id="rId297" Type="http://schemas.openxmlformats.org/officeDocument/2006/relationships/image" Target="media/image216.png"/><Relationship Id="rId298" Type="http://schemas.openxmlformats.org/officeDocument/2006/relationships/image" Target="media/image217.png"/><Relationship Id="rId299" Type="http://schemas.openxmlformats.org/officeDocument/2006/relationships/image" Target="media/image218.png"/><Relationship Id="rId300" Type="http://schemas.openxmlformats.org/officeDocument/2006/relationships/image" Target="media/image219.png"/><Relationship Id="rId301" Type="http://schemas.openxmlformats.org/officeDocument/2006/relationships/image" Target="media/image220.png"/><Relationship Id="rId302" Type="http://schemas.openxmlformats.org/officeDocument/2006/relationships/image" Target="media/image221.png"/><Relationship Id="rId303" Type="http://schemas.openxmlformats.org/officeDocument/2006/relationships/image" Target="media/image222.png"/><Relationship Id="rId304" Type="http://schemas.openxmlformats.org/officeDocument/2006/relationships/image" Target="media/image223.png"/><Relationship Id="rId305" Type="http://schemas.openxmlformats.org/officeDocument/2006/relationships/image" Target="media/image224.png"/><Relationship Id="rId306" Type="http://schemas.openxmlformats.org/officeDocument/2006/relationships/image" Target="media/image225.png"/><Relationship Id="rId307" Type="http://schemas.openxmlformats.org/officeDocument/2006/relationships/image" Target="media/image226.png"/><Relationship Id="rId308" Type="http://schemas.openxmlformats.org/officeDocument/2006/relationships/image" Target="media/image227.png"/><Relationship Id="rId309" Type="http://schemas.openxmlformats.org/officeDocument/2006/relationships/image" Target="media/image228.png"/><Relationship Id="rId310" Type="http://schemas.openxmlformats.org/officeDocument/2006/relationships/image" Target="media/image229.png"/><Relationship Id="rId311" Type="http://schemas.openxmlformats.org/officeDocument/2006/relationships/image" Target="media/image230.png"/><Relationship Id="rId312" Type="http://schemas.openxmlformats.org/officeDocument/2006/relationships/image" Target="media/image231.png"/><Relationship Id="rId313" Type="http://schemas.openxmlformats.org/officeDocument/2006/relationships/image" Target="media/image232.png"/><Relationship Id="rId314" Type="http://schemas.openxmlformats.org/officeDocument/2006/relationships/image" Target="media/image233.png"/><Relationship Id="rId315" Type="http://schemas.openxmlformats.org/officeDocument/2006/relationships/image" Target="media/image234.png"/><Relationship Id="rId316" Type="http://schemas.openxmlformats.org/officeDocument/2006/relationships/image" Target="media/image235.png"/><Relationship Id="rId317" Type="http://schemas.openxmlformats.org/officeDocument/2006/relationships/image" Target="media/image236.png"/><Relationship Id="rId318" Type="http://schemas.openxmlformats.org/officeDocument/2006/relationships/image" Target="media/image237.png"/><Relationship Id="rId319" Type="http://schemas.openxmlformats.org/officeDocument/2006/relationships/image" Target="media/image238.png"/><Relationship Id="rId320" Type="http://schemas.openxmlformats.org/officeDocument/2006/relationships/image" Target="media/image239.png"/><Relationship Id="rId321" Type="http://schemas.openxmlformats.org/officeDocument/2006/relationships/image" Target="media/image240.png"/><Relationship Id="rId322" Type="http://schemas.openxmlformats.org/officeDocument/2006/relationships/image" Target="media/image241.png"/><Relationship Id="rId323" Type="http://schemas.openxmlformats.org/officeDocument/2006/relationships/image" Target="media/image242.png"/><Relationship Id="rId324" Type="http://schemas.openxmlformats.org/officeDocument/2006/relationships/image" Target="media/image243.png"/><Relationship Id="rId325" Type="http://schemas.openxmlformats.org/officeDocument/2006/relationships/image" Target="media/image244.png"/><Relationship Id="rId326" Type="http://schemas.openxmlformats.org/officeDocument/2006/relationships/image" Target="media/image245.png"/><Relationship Id="rId327" Type="http://schemas.openxmlformats.org/officeDocument/2006/relationships/image" Target="media/image246.png"/><Relationship Id="rId328" Type="http://schemas.openxmlformats.org/officeDocument/2006/relationships/image" Target="media/image247.png"/><Relationship Id="rId329" Type="http://schemas.openxmlformats.org/officeDocument/2006/relationships/image" Target="media/image248.png"/><Relationship Id="rId330" Type="http://schemas.openxmlformats.org/officeDocument/2006/relationships/image" Target="media/image249.png"/><Relationship Id="rId331" Type="http://schemas.openxmlformats.org/officeDocument/2006/relationships/image" Target="media/image250.png"/><Relationship Id="rId332" Type="http://schemas.openxmlformats.org/officeDocument/2006/relationships/image" Target="media/image251.png"/><Relationship Id="rId333" Type="http://schemas.openxmlformats.org/officeDocument/2006/relationships/image" Target="media/image252.png"/><Relationship Id="rId334" Type="http://schemas.openxmlformats.org/officeDocument/2006/relationships/image" Target="media/image253.png"/><Relationship Id="rId335" Type="http://schemas.openxmlformats.org/officeDocument/2006/relationships/image" Target="media/image254.png"/><Relationship Id="rId336" Type="http://schemas.openxmlformats.org/officeDocument/2006/relationships/image" Target="media/image255.png"/><Relationship Id="rId337" Type="http://schemas.openxmlformats.org/officeDocument/2006/relationships/image" Target="media/image256.png"/><Relationship Id="rId338" Type="http://schemas.openxmlformats.org/officeDocument/2006/relationships/image" Target="media/image257.png"/><Relationship Id="rId339" Type="http://schemas.openxmlformats.org/officeDocument/2006/relationships/image" Target="media/image258.png"/><Relationship Id="rId340" Type="http://schemas.openxmlformats.org/officeDocument/2006/relationships/image" Target="media/image259.png"/><Relationship Id="rId341" Type="http://schemas.openxmlformats.org/officeDocument/2006/relationships/image" Target="media/image260.png"/><Relationship Id="rId342" Type="http://schemas.openxmlformats.org/officeDocument/2006/relationships/image" Target="media/image261.png"/><Relationship Id="rId343" Type="http://schemas.openxmlformats.org/officeDocument/2006/relationships/image" Target="media/image262.png"/><Relationship Id="rId344" Type="http://schemas.openxmlformats.org/officeDocument/2006/relationships/image" Target="media/image263.png"/><Relationship Id="rId345" Type="http://schemas.openxmlformats.org/officeDocument/2006/relationships/image" Target="media/image264.png"/><Relationship Id="rId346" Type="http://schemas.openxmlformats.org/officeDocument/2006/relationships/image" Target="media/image265.png"/><Relationship Id="rId347" Type="http://schemas.openxmlformats.org/officeDocument/2006/relationships/image" Target="media/image266.png"/><Relationship Id="rId348" Type="http://schemas.openxmlformats.org/officeDocument/2006/relationships/image" Target="media/image267.png"/><Relationship Id="rId349" Type="http://schemas.openxmlformats.org/officeDocument/2006/relationships/image" Target="media/image268.png"/><Relationship Id="rId350" Type="http://schemas.openxmlformats.org/officeDocument/2006/relationships/image" Target="media/image269.png"/><Relationship Id="rId351" Type="http://schemas.openxmlformats.org/officeDocument/2006/relationships/image" Target="media/image270.png"/><Relationship Id="rId352" Type="http://schemas.openxmlformats.org/officeDocument/2006/relationships/image" Target="media/image271.png"/><Relationship Id="rId353" Type="http://schemas.openxmlformats.org/officeDocument/2006/relationships/image" Target="media/image272.png"/><Relationship Id="rId354" Type="http://schemas.openxmlformats.org/officeDocument/2006/relationships/image" Target="media/image273.png"/><Relationship Id="rId355" Type="http://schemas.openxmlformats.org/officeDocument/2006/relationships/image" Target="media/image274.png"/><Relationship Id="rId356" Type="http://schemas.openxmlformats.org/officeDocument/2006/relationships/image" Target="media/image275.png"/><Relationship Id="rId357" Type="http://schemas.openxmlformats.org/officeDocument/2006/relationships/image" Target="media/image276.png"/><Relationship Id="rId358" Type="http://schemas.openxmlformats.org/officeDocument/2006/relationships/image" Target="media/image277.png"/><Relationship Id="rId359" Type="http://schemas.openxmlformats.org/officeDocument/2006/relationships/image" Target="media/image278.png"/><Relationship Id="rId360" Type="http://schemas.openxmlformats.org/officeDocument/2006/relationships/image" Target="media/image279.png"/><Relationship Id="rId361" Type="http://schemas.openxmlformats.org/officeDocument/2006/relationships/image" Target="media/image280.png"/><Relationship Id="rId362" Type="http://schemas.openxmlformats.org/officeDocument/2006/relationships/image" Target="media/image281.png"/><Relationship Id="rId363" Type="http://schemas.openxmlformats.org/officeDocument/2006/relationships/image" Target="media/image282.png"/><Relationship Id="rId364" Type="http://schemas.openxmlformats.org/officeDocument/2006/relationships/image" Target="media/image283.png"/><Relationship Id="rId365" Type="http://schemas.openxmlformats.org/officeDocument/2006/relationships/image" Target="media/image284.png"/><Relationship Id="rId366" Type="http://schemas.openxmlformats.org/officeDocument/2006/relationships/image" Target="media/image285.png"/><Relationship Id="rId367" Type="http://schemas.openxmlformats.org/officeDocument/2006/relationships/image" Target="media/image286.png"/><Relationship Id="rId368" Type="http://schemas.openxmlformats.org/officeDocument/2006/relationships/image" Target="media/image287.png"/><Relationship Id="rId369" Type="http://schemas.openxmlformats.org/officeDocument/2006/relationships/image" Target="media/image288.png"/><Relationship Id="rId370" Type="http://schemas.openxmlformats.org/officeDocument/2006/relationships/image" Target="media/image289.png"/><Relationship Id="rId371" Type="http://schemas.openxmlformats.org/officeDocument/2006/relationships/image" Target="media/image290.png"/><Relationship Id="rId372" Type="http://schemas.openxmlformats.org/officeDocument/2006/relationships/image" Target="media/image291.png"/><Relationship Id="rId373" Type="http://schemas.openxmlformats.org/officeDocument/2006/relationships/image" Target="media/image292.png"/><Relationship Id="rId374" Type="http://schemas.openxmlformats.org/officeDocument/2006/relationships/image" Target="media/image293.png"/><Relationship Id="rId375" Type="http://schemas.openxmlformats.org/officeDocument/2006/relationships/image" Target="media/image294.png"/><Relationship Id="rId376" Type="http://schemas.openxmlformats.org/officeDocument/2006/relationships/image" Target="media/image295.png"/><Relationship Id="rId377" Type="http://schemas.openxmlformats.org/officeDocument/2006/relationships/image" Target="media/image296.png"/><Relationship Id="rId378" Type="http://schemas.openxmlformats.org/officeDocument/2006/relationships/image" Target="media/image297.png"/><Relationship Id="rId379" Type="http://schemas.openxmlformats.org/officeDocument/2006/relationships/image" Target="media/image298.png"/><Relationship Id="rId380" Type="http://schemas.openxmlformats.org/officeDocument/2006/relationships/image" Target="media/image299.png"/><Relationship Id="rId381" Type="http://schemas.openxmlformats.org/officeDocument/2006/relationships/image" Target="media/image300.png"/><Relationship Id="rId382" Type="http://schemas.openxmlformats.org/officeDocument/2006/relationships/image" Target="media/image301.png"/><Relationship Id="rId383" Type="http://schemas.openxmlformats.org/officeDocument/2006/relationships/image" Target="media/image302.png"/><Relationship Id="rId384" Type="http://schemas.openxmlformats.org/officeDocument/2006/relationships/image" Target="media/image303.png"/><Relationship Id="rId385" Type="http://schemas.openxmlformats.org/officeDocument/2006/relationships/image" Target="media/image304.png"/><Relationship Id="rId386" Type="http://schemas.openxmlformats.org/officeDocument/2006/relationships/image" Target="media/image305.png"/><Relationship Id="rId387" Type="http://schemas.openxmlformats.org/officeDocument/2006/relationships/image" Target="media/image306.png"/><Relationship Id="rId388" Type="http://schemas.openxmlformats.org/officeDocument/2006/relationships/image" Target="media/image307.png"/><Relationship Id="rId389" Type="http://schemas.openxmlformats.org/officeDocument/2006/relationships/image" Target="media/image308.png"/><Relationship Id="rId390" Type="http://schemas.openxmlformats.org/officeDocument/2006/relationships/image" Target="media/image309.png"/><Relationship Id="rId391" Type="http://schemas.openxmlformats.org/officeDocument/2006/relationships/image" Target="media/image310.png"/><Relationship Id="rId392" Type="http://schemas.openxmlformats.org/officeDocument/2006/relationships/image" Target="media/image311.png"/><Relationship Id="rId393" Type="http://schemas.openxmlformats.org/officeDocument/2006/relationships/image" Target="media/image312.png"/><Relationship Id="rId394" Type="http://schemas.openxmlformats.org/officeDocument/2006/relationships/image" Target="media/image313.png"/><Relationship Id="rId395" Type="http://schemas.openxmlformats.org/officeDocument/2006/relationships/image" Target="media/image314.png"/><Relationship Id="rId396" Type="http://schemas.openxmlformats.org/officeDocument/2006/relationships/image" Target="media/image315.png"/><Relationship Id="rId397" Type="http://schemas.openxmlformats.org/officeDocument/2006/relationships/image" Target="media/image316.png"/><Relationship Id="rId398" Type="http://schemas.openxmlformats.org/officeDocument/2006/relationships/image" Target="media/image317.png"/><Relationship Id="rId399" Type="http://schemas.openxmlformats.org/officeDocument/2006/relationships/image" Target="media/image318.png"/><Relationship Id="rId400" Type="http://schemas.openxmlformats.org/officeDocument/2006/relationships/image" Target="media/image319.png"/><Relationship Id="rId401" Type="http://schemas.openxmlformats.org/officeDocument/2006/relationships/image" Target="media/image320.png"/><Relationship Id="rId402" Type="http://schemas.openxmlformats.org/officeDocument/2006/relationships/image" Target="media/image321.png"/><Relationship Id="rId403" Type="http://schemas.openxmlformats.org/officeDocument/2006/relationships/image" Target="media/image322.png"/><Relationship Id="rId404" Type="http://schemas.openxmlformats.org/officeDocument/2006/relationships/image" Target="media/image323.png"/><Relationship Id="rId405" Type="http://schemas.openxmlformats.org/officeDocument/2006/relationships/image" Target="media/image324.png"/><Relationship Id="rId406" Type="http://schemas.openxmlformats.org/officeDocument/2006/relationships/image" Target="media/image325.png"/><Relationship Id="rId407" Type="http://schemas.openxmlformats.org/officeDocument/2006/relationships/image" Target="media/image326.png"/><Relationship Id="rId408" Type="http://schemas.openxmlformats.org/officeDocument/2006/relationships/image" Target="media/image327.png"/><Relationship Id="rId409" Type="http://schemas.openxmlformats.org/officeDocument/2006/relationships/image" Target="media/image328.png"/><Relationship Id="rId410" Type="http://schemas.openxmlformats.org/officeDocument/2006/relationships/image" Target="media/image329.png"/><Relationship Id="rId411" Type="http://schemas.openxmlformats.org/officeDocument/2006/relationships/image" Target="media/image330.png"/><Relationship Id="rId412" Type="http://schemas.openxmlformats.org/officeDocument/2006/relationships/image" Target="media/image331.png"/><Relationship Id="rId413" Type="http://schemas.openxmlformats.org/officeDocument/2006/relationships/image" Target="media/image332.png"/><Relationship Id="rId414" Type="http://schemas.openxmlformats.org/officeDocument/2006/relationships/image" Target="media/image333.png"/><Relationship Id="rId415" Type="http://schemas.openxmlformats.org/officeDocument/2006/relationships/image" Target="media/image334.png"/><Relationship Id="rId416" Type="http://schemas.openxmlformats.org/officeDocument/2006/relationships/image" Target="media/image335.png"/><Relationship Id="rId417" Type="http://schemas.openxmlformats.org/officeDocument/2006/relationships/image" Target="media/image336.png"/><Relationship Id="rId418" Type="http://schemas.openxmlformats.org/officeDocument/2006/relationships/image" Target="media/image337.png"/><Relationship Id="rId419" Type="http://schemas.openxmlformats.org/officeDocument/2006/relationships/image" Target="media/image338.png"/><Relationship Id="rId420" Type="http://schemas.openxmlformats.org/officeDocument/2006/relationships/image" Target="media/image339.png"/><Relationship Id="rId421" Type="http://schemas.openxmlformats.org/officeDocument/2006/relationships/image" Target="media/image340.png"/><Relationship Id="rId422" Type="http://schemas.openxmlformats.org/officeDocument/2006/relationships/image" Target="media/image341.png"/><Relationship Id="rId423" Type="http://schemas.openxmlformats.org/officeDocument/2006/relationships/image" Target="media/image342.png"/><Relationship Id="rId424" Type="http://schemas.openxmlformats.org/officeDocument/2006/relationships/image" Target="media/image343.png"/><Relationship Id="rId425" Type="http://schemas.openxmlformats.org/officeDocument/2006/relationships/image" Target="media/image344.png"/><Relationship Id="rId426" Type="http://schemas.openxmlformats.org/officeDocument/2006/relationships/image" Target="media/image345.png"/><Relationship Id="rId427" Type="http://schemas.openxmlformats.org/officeDocument/2006/relationships/image" Target="media/image346.png"/><Relationship Id="rId428" Type="http://schemas.openxmlformats.org/officeDocument/2006/relationships/image" Target="media/image347.png"/><Relationship Id="rId429" Type="http://schemas.openxmlformats.org/officeDocument/2006/relationships/image" Target="media/image348.png"/><Relationship Id="rId430" Type="http://schemas.openxmlformats.org/officeDocument/2006/relationships/image" Target="media/image349.png"/><Relationship Id="rId431" Type="http://schemas.openxmlformats.org/officeDocument/2006/relationships/image" Target="media/image350.png"/><Relationship Id="rId432" Type="http://schemas.openxmlformats.org/officeDocument/2006/relationships/image" Target="media/image351.png"/><Relationship Id="rId433" Type="http://schemas.openxmlformats.org/officeDocument/2006/relationships/image" Target="media/image352.png"/><Relationship Id="rId434" Type="http://schemas.openxmlformats.org/officeDocument/2006/relationships/image" Target="media/image353.png"/><Relationship Id="rId435" Type="http://schemas.openxmlformats.org/officeDocument/2006/relationships/image" Target="media/image354.png"/><Relationship Id="rId436" Type="http://schemas.openxmlformats.org/officeDocument/2006/relationships/image" Target="media/image355.png"/><Relationship Id="rId437" Type="http://schemas.openxmlformats.org/officeDocument/2006/relationships/image" Target="media/image356.png"/><Relationship Id="rId438" Type="http://schemas.openxmlformats.org/officeDocument/2006/relationships/image" Target="media/image357.png"/><Relationship Id="rId439" Type="http://schemas.openxmlformats.org/officeDocument/2006/relationships/image" Target="media/image358.png"/><Relationship Id="rId440" Type="http://schemas.openxmlformats.org/officeDocument/2006/relationships/image" Target="media/image359.png"/><Relationship Id="rId441" Type="http://schemas.openxmlformats.org/officeDocument/2006/relationships/image" Target="media/image360.png"/><Relationship Id="rId442" Type="http://schemas.openxmlformats.org/officeDocument/2006/relationships/image" Target="media/image361.png"/><Relationship Id="rId443" Type="http://schemas.openxmlformats.org/officeDocument/2006/relationships/image" Target="media/image362.png"/><Relationship Id="rId444" Type="http://schemas.openxmlformats.org/officeDocument/2006/relationships/image" Target="media/image363.png"/><Relationship Id="rId445" Type="http://schemas.openxmlformats.org/officeDocument/2006/relationships/image" Target="media/image364.png"/><Relationship Id="rId446" Type="http://schemas.openxmlformats.org/officeDocument/2006/relationships/image" Target="media/image365.png"/><Relationship Id="rId447" Type="http://schemas.openxmlformats.org/officeDocument/2006/relationships/image" Target="media/image366.png"/><Relationship Id="rId448" Type="http://schemas.openxmlformats.org/officeDocument/2006/relationships/image" Target="media/image367.png"/><Relationship Id="rId449" Type="http://schemas.openxmlformats.org/officeDocument/2006/relationships/image" Target="media/image368.png"/><Relationship Id="rId450" Type="http://schemas.openxmlformats.org/officeDocument/2006/relationships/image" Target="media/image369.png"/><Relationship Id="rId451" Type="http://schemas.openxmlformats.org/officeDocument/2006/relationships/image" Target="media/image370.png"/><Relationship Id="rId452" Type="http://schemas.openxmlformats.org/officeDocument/2006/relationships/image" Target="media/image371.png"/><Relationship Id="rId453" Type="http://schemas.openxmlformats.org/officeDocument/2006/relationships/image" Target="media/image372.png"/><Relationship Id="rId454" Type="http://schemas.openxmlformats.org/officeDocument/2006/relationships/image" Target="media/image373.png"/><Relationship Id="rId455" Type="http://schemas.openxmlformats.org/officeDocument/2006/relationships/image" Target="media/image374.png"/><Relationship Id="rId456" Type="http://schemas.openxmlformats.org/officeDocument/2006/relationships/image" Target="media/image375.png"/><Relationship Id="rId457" Type="http://schemas.openxmlformats.org/officeDocument/2006/relationships/image" Target="media/image376.png"/><Relationship Id="rId458" Type="http://schemas.openxmlformats.org/officeDocument/2006/relationships/image" Target="media/image377.png"/><Relationship Id="rId459" Type="http://schemas.openxmlformats.org/officeDocument/2006/relationships/image" Target="media/image378.png"/><Relationship Id="rId460" Type="http://schemas.openxmlformats.org/officeDocument/2006/relationships/image" Target="media/image379.png"/><Relationship Id="rId461" Type="http://schemas.openxmlformats.org/officeDocument/2006/relationships/image" Target="media/image380.png"/><Relationship Id="rId462" Type="http://schemas.openxmlformats.org/officeDocument/2006/relationships/image" Target="media/image381.png"/><Relationship Id="rId463" Type="http://schemas.openxmlformats.org/officeDocument/2006/relationships/image" Target="media/image382.png"/><Relationship Id="rId464" Type="http://schemas.openxmlformats.org/officeDocument/2006/relationships/image" Target="media/image383.png"/><Relationship Id="rId465" Type="http://schemas.openxmlformats.org/officeDocument/2006/relationships/image" Target="media/image384.png"/><Relationship Id="rId466" Type="http://schemas.openxmlformats.org/officeDocument/2006/relationships/image" Target="media/image385.png"/><Relationship Id="rId467" Type="http://schemas.openxmlformats.org/officeDocument/2006/relationships/image" Target="media/image386.png"/><Relationship Id="rId468" Type="http://schemas.openxmlformats.org/officeDocument/2006/relationships/image" Target="media/image387.png"/><Relationship Id="rId469" Type="http://schemas.openxmlformats.org/officeDocument/2006/relationships/image" Target="media/image388.png"/><Relationship Id="rId470" Type="http://schemas.openxmlformats.org/officeDocument/2006/relationships/image" Target="media/image389.png"/><Relationship Id="rId471" Type="http://schemas.openxmlformats.org/officeDocument/2006/relationships/image" Target="media/image390.png"/><Relationship Id="rId472" Type="http://schemas.openxmlformats.org/officeDocument/2006/relationships/image" Target="media/image391.png"/><Relationship Id="rId473" Type="http://schemas.openxmlformats.org/officeDocument/2006/relationships/image" Target="media/image392.png"/><Relationship Id="rId474" Type="http://schemas.openxmlformats.org/officeDocument/2006/relationships/image" Target="media/image393.png"/><Relationship Id="rId475" Type="http://schemas.openxmlformats.org/officeDocument/2006/relationships/image" Target="media/image394.png"/><Relationship Id="rId476" Type="http://schemas.openxmlformats.org/officeDocument/2006/relationships/image" Target="media/image395.png"/><Relationship Id="rId477" Type="http://schemas.openxmlformats.org/officeDocument/2006/relationships/image" Target="media/image396.png"/><Relationship Id="rId478" Type="http://schemas.openxmlformats.org/officeDocument/2006/relationships/image" Target="media/image397.png"/><Relationship Id="rId479" Type="http://schemas.openxmlformats.org/officeDocument/2006/relationships/image" Target="media/image398.png"/><Relationship Id="rId480" Type="http://schemas.openxmlformats.org/officeDocument/2006/relationships/image" Target="media/image399.png"/><Relationship Id="rId481" Type="http://schemas.openxmlformats.org/officeDocument/2006/relationships/image" Target="media/image400.png"/><Relationship Id="rId482" Type="http://schemas.openxmlformats.org/officeDocument/2006/relationships/image" Target="media/image401.png"/><Relationship Id="rId483" Type="http://schemas.openxmlformats.org/officeDocument/2006/relationships/image" Target="media/image402.png"/><Relationship Id="rId484" Type="http://schemas.openxmlformats.org/officeDocument/2006/relationships/image" Target="media/image403.png"/><Relationship Id="rId485" Type="http://schemas.openxmlformats.org/officeDocument/2006/relationships/image" Target="media/image404.png"/><Relationship Id="rId486" Type="http://schemas.openxmlformats.org/officeDocument/2006/relationships/image" Target="media/image405.png"/><Relationship Id="rId487" Type="http://schemas.openxmlformats.org/officeDocument/2006/relationships/image" Target="media/image406.png"/><Relationship Id="rId488" Type="http://schemas.openxmlformats.org/officeDocument/2006/relationships/image" Target="media/image407.png"/><Relationship Id="rId169" Type="http://schemas.openxmlformats.org/officeDocument/2006/relationships/hyperlink" Target="https://www.sec.gov/Archives/edgar/data/1826011/000119312523225201/d441541ds4.htm#rom441541_40" TargetMode="External"/><Relationship Id="rId170" Type="http://schemas.openxmlformats.org/officeDocument/2006/relationships/hyperlink" Target="https://www.sec.gov/Archives/edgar/data/1826011/000119312523225201/d441541ds4.htm#rom441541_41" TargetMode="External"/><Relationship Id="rId171" Type="http://schemas.openxmlformats.org/officeDocument/2006/relationships/hyperlink" Target="https://www.sec.gov/Archives/edgar/data/1826011/000149315224050696/ex2-1.htm" TargetMode="External"/><Relationship Id="rId172" Type="http://schemas.openxmlformats.org/officeDocument/2006/relationships/hyperlink" Target="https://www.sec.gov/Archives/edgar/data/1826011/000149315224050891/ex2-1.htm" TargetMode="External"/><Relationship Id="rId173" Type="http://schemas.openxmlformats.org/officeDocument/2006/relationships/hyperlink" Target="https://www.sec.gov/Archives/edgar/data/1826011/000149315225003319/ex2-1.htm" TargetMode="External"/><Relationship Id="rId174" Type="http://schemas.openxmlformats.org/officeDocument/2006/relationships/hyperlink" Target="https://www.sec.gov/Archives/edgar/data/1826011/000119312523300033/d449527dex31.htm" TargetMode="External"/><Relationship Id="rId175" Type="http://schemas.openxmlformats.org/officeDocument/2006/relationships/hyperlink" Target="https://www.sec.gov/Archives/edgar/data/1826011/000119312523300033/d449527dex32.htm" TargetMode="External"/><Relationship Id="rId176" Type="http://schemas.openxmlformats.org/officeDocument/2006/relationships/hyperlink" Target="https://www.sec.gov/Archives/edgar/data/1826011/000149315225009079/ex3-2.htm" TargetMode="External"/><Relationship Id="rId177" Type="http://schemas.openxmlformats.org/officeDocument/2006/relationships/hyperlink" Target="https://www.sec.gov/Archives/edgar/data/1826011/000149315224036413/ex3-1.htm" TargetMode="External"/><Relationship Id="rId178" Type="http://schemas.openxmlformats.org/officeDocument/2006/relationships/hyperlink" Target="https://www.sec.gov/Archives/edgar/data/1826011/000149315225009079/ex3-1.htm" TargetMode="External"/><Relationship Id="rId179" Type="http://schemas.openxmlformats.org/officeDocument/2006/relationships/hyperlink" Target="https://www.sec.gov/Archives/edgar/data/1826011/000119312523300033/d449527dex41.htm" TargetMode="External"/><Relationship Id="rId180" Type="http://schemas.openxmlformats.org/officeDocument/2006/relationships/hyperlink" Target="https://www.sec.gov/Archives/edgar/data/1826011/000119312523300033/d449527dex42.htm" TargetMode="External"/><Relationship Id="rId181" Type="http://schemas.openxmlformats.org/officeDocument/2006/relationships/hyperlink" Target="https://www.sec.gov/Archives/edgar/data/1826011/000119312523300033/d449527dex43.htm" TargetMode="External"/><Relationship Id="rId182" Type="http://schemas.openxmlformats.org/officeDocument/2006/relationships/hyperlink" Target="https://www.sec.gov/Archives/edgar/data/1826011/000121390020044825/ea132294ex4-1_7gcholdings.htm" TargetMode="External"/><Relationship Id="rId183" Type="http://schemas.openxmlformats.org/officeDocument/2006/relationships/hyperlink" Target="https://www.sec.gov/Archives/edgar/data/1826011/000119312523225201/d441541dex47.htm" TargetMode="External"/><Relationship Id="rId184" Type="http://schemas.openxmlformats.org/officeDocument/2006/relationships/hyperlink" Target="https://www.sec.gov/Archives/edgar/data/1826011/000119312523300033/d449527dex45.htm" TargetMode="External"/><Relationship Id="rId185" Type="http://schemas.openxmlformats.org/officeDocument/2006/relationships/hyperlink" Target="https://www.sec.gov/Archives/edgar/data/1826011/000119312523300033/d449527dex47.htm" TargetMode="External"/><Relationship Id="rId186" Type="http://schemas.openxmlformats.org/officeDocument/2006/relationships/hyperlink" Target="https://www.sec.gov/Archives/edgar/data/1826011/000119312523297160/d564833dex102.htm" TargetMode="External"/><Relationship Id="rId187" Type="http://schemas.openxmlformats.org/officeDocument/2006/relationships/hyperlink" Target="https://www.sec.gov/Archives/edgar/data/1826011/000119312524023808/d567008dex411.htm" TargetMode="External"/><Relationship Id="rId188" Type="http://schemas.openxmlformats.org/officeDocument/2006/relationships/hyperlink" Target="https://www.sec.gov/Archives/edgar/data/1826011/000149315224050696/ex3-1.htm" TargetMode="External"/><Relationship Id="rId191" Type="http://schemas.openxmlformats.org/officeDocument/2006/relationships/hyperlink" Target="https://www.sec.gov/Archives/edgar/data/1826011/000121390020044825/ea132294ex10-1_7gcholdings.htm" TargetMode="External"/><Relationship Id="rId192" Type="http://schemas.openxmlformats.org/officeDocument/2006/relationships/hyperlink" Target="https://www.sec.gov/Archives/edgar/data/1826011/000121390020044825/ea132294ex10-5_7gcholdings.htm" TargetMode="External"/><Relationship Id="rId193" Type="http://schemas.openxmlformats.org/officeDocument/2006/relationships/hyperlink" Target="https://www.sec.gov/Archives/edgar/data/1826011/000119312523300033/d449527dex106.htm" TargetMode="External"/><Relationship Id="rId194" Type="http://schemas.openxmlformats.org/officeDocument/2006/relationships/hyperlink" Target="https://www.sec.gov/Archives/edgar/data/1826011/000119312523225201/d441541ds4.htm#rom441541_44" TargetMode="External"/><Relationship Id="rId195" Type="http://schemas.openxmlformats.org/officeDocument/2006/relationships/hyperlink" Target="https://www.sec.gov/Archives/edgar/data/1826011/000119312524076619/d810637dex991.htm" TargetMode="External"/><Relationship Id="rId196" Type="http://schemas.openxmlformats.org/officeDocument/2006/relationships/hyperlink" Target="https://www.sec.gov/Archives/edgar/data/1826011/000119312524076619/d810637dex992.htm" TargetMode="External"/><Relationship Id="rId197" Type="http://schemas.openxmlformats.org/officeDocument/2006/relationships/hyperlink" Target="https://www.sec.gov/Archives/edgar/data/1826011/000119312523225201/d441541dex1016.htm" TargetMode="External"/><Relationship Id="rId198" Type="http://schemas.openxmlformats.org/officeDocument/2006/relationships/hyperlink" Target="https://www.sec.gov/Archives/edgar/data/1826011/000119312523225201/d441541dex1018.htm" TargetMode="External"/><Relationship Id="rId199" Type="http://schemas.openxmlformats.org/officeDocument/2006/relationships/hyperlink" Target="https://www.sec.gov/Archives/edgar/data/1826011/000119312523250809/d548057dex101.htm" TargetMode="External"/><Relationship Id="rId200" Type="http://schemas.openxmlformats.org/officeDocument/2006/relationships/hyperlink" Target="https://www.sec.gov/Archives/edgar/data/1826011/000119312523297160/d564833dex101.htm" TargetMode="External"/><Relationship Id="rId201" Type="http://schemas.openxmlformats.org/officeDocument/2006/relationships/hyperlink" Target="https://www.sec.gov/Archives/edgar/data/1826011/000119312523297160/d564833dex103.htm" TargetMode="External"/><Relationship Id="rId202" Type="http://schemas.openxmlformats.org/officeDocument/2006/relationships/hyperlink" Target="https://www.sec.gov/Archives/edgar/data/1826011/000119312523300033/d449527dex105.htm" TargetMode="External"/><Relationship Id="rId203" Type="http://schemas.openxmlformats.org/officeDocument/2006/relationships/hyperlink" Target="https://www.sec.gov/Archives/edgar/data/1826011/000119312523300033/d449527dex108.htm" TargetMode="External"/><Relationship Id="rId204" Type="http://schemas.openxmlformats.org/officeDocument/2006/relationships/hyperlink" Target="https://www.sec.gov/Archives/edgar/data/1826011/000119312524023808/d567008dex1026.htm" TargetMode="External"/><Relationship Id="rId205" Type="http://schemas.openxmlformats.org/officeDocument/2006/relationships/hyperlink" Target="https://www.sec.gov/Archives/edgar/data/1826011/000119312524023808/d567008dex1027.htm" TargetMode="External"/><Relationship Id="rId206" Type="http://schemas.openxmlformats.org/officeDocument/2006/relationships/hyperlink" Target="https://www.sec.gov/Archives/edgar/data/1826011/000119312524028341/d744391dex104.htm" TargetMode="External"/><Relationship Id="rId207" Type="http://schemas.openxmlformats.org/officeDocument/2006/relationships/hyperlink" Target="https://www.sec.gov/Archives/edgar/data/1826011/000119312524023808/d567008dex1029.htm" TargetMode="External"/><Relationship Id="rId208" Type="http://schemas.openxmlformats.org/officeDocument/2006/relationships/hyperlink" Target="https://www.sec.gov/Archives/edgar/data/1826011/000119312524023808/d567008dex1030.htm" TargetMode="External"/><Relationship Id="rId209" Type="http://schemas.openxmlformats.org/officeDocument/2006/relationships/hyperlink" Target="https://www.sec.gov/Archives/edgar/data/1826011/000149315225004641/ex10-1.htm" TargetMode="External"/><Relationship Id="rId210" Type="http://schemas.openxmlformats.org/officeDocument/2006/relationships/hyperlink" Target="https://www.sec.gov/Archives/edgar/data/1826011/000149315224038577/ex10-19.htm" TargetMode="External"/><Relationship Id="rId211" Type="http://schemas.openxmlformats.org/officeDocument/2006/relationships/hyperlink" Target="https://www.sec.gov/Archives/edgar/data/1826011/000119312524139915/d842344dex992.htm" TargetMode="External"/><Relationship Id="rId212" Type="http://schemas.openxmlformats.org/officeDocument/2006/relationships/hyperlink" Target="https://www.sec.gov/Archives/edgar/data/1826011/000149315224037198/ex4-12.htm" TargetMode="External"/><Relationship Id="rId215" Type="http://schemas.openxmlformats.org/officeDocument/2006/relationships/hyperlink" Target="https://www.sec.gov/Archives/edgar/data/1826011/000119312524148209/d647173dex101.htm" TargetMode="External"/><Relationship Id="rId216" Type="http://schemas.openxmlformats.org/officeDocument/2006/relationships/hyperlink" Target="https://www.sec.gov/Archives/edgar/data/1826011/000149315224038522/ex10-1.htm" TargetMode="External"/><Relationship Id="rId217" Type="http://schemas.openxmlformats.org/officeDocument/2006/relationships/hyperlink" Target="https://www.sec.gov/Archives/edgar/data/1826011/000149315224038146/ex10-21.htm" TargetMode="External"/><Relationship Id="rId218" Type="http://schemas.openxmlformats.org/officeDocument/2006/relationships/hyperlink" Target="https://www.sec.gov/Archives/edgar/data/1826011/000149315224038146/ex10-20.htm" TargetMode="External"/><Relationship Id="rId219" Type="http://schemas.openxmlformats.org/officeDocument/2006/relationships/hyperlink" Target="https://www.sec.gov/Archives/edgar/data/1826011/000149315224038146/ex10-17.htm" TargetMode="External"/><Relationship Id="rId220" Type="http://schemas.openxmlformats.org/officeDocument/2006/relationships/hyperlink" Target="https://www.sec.gov/Archives/edgar/data/1826011/000149315224038146/ex10-25.htm" TargetMode="External"/><Relationship Id="rId221" Type="http://schemas.openxmlformats.org/officeDocument/2006/relationships/hyperlink" Target="https://www.sec.gov/Archives/edgar/data/1826011/000149315224038146/ex10-24.htm" TargetMode="External"/><Relationship Id="rId222" Type="http://schemas.openxmlformats.org/officeDocument/2006/relationships/hyperlink" Target="https://www.sec.gov/Archives/edgar/data/1826011/000149315224038522/ex10-2.htm" TargetMode="External"/><Relationship Id="rId223" Type="http://schemas.openxmlformats.org/officeDocument/2006/relationships/hyperlink" Target="https://www.sec.gov/Archives/edgar/data/1826011/000149315224041316/ex10-30.htm" TargetMode="External"/><Relationship Id="rId224" Type="http://schemas.openxmlformats.org/officeDocument/2006/relationships/hyperlink" Target="https://www.sec.gov/Archives/edgar/data/1826011/000149315224041316/ex10-31.htm" TargetMode="External"/><Relationship Id="rId225" Type="http://schemas.openxmlformats.org/officeDocument/2006/relationships/hyperlink" Target="https://www.sec.gov/Archives/edgar/data/1826011/000149315224041316/ex10-32.htm" TargetMode="External"/><Relationship Id="rId226" Type="http://schemas.openxmlformats.org/officeDocument/2006/relationships/hyperlink" Target="https://www.sec.gov/Archives/edgar/data/1826011/000149315224041316/ex10-33.htm" TargetMode="External"/><Relationship Id="rId227" Type="http://schemas.openxmlformats.org/officeDocument/2006/relationships/hyperlink" Target="https://www.sec.gov/Archives/edgar/data/1826011/000149315224038146/ex10-6.htm" TargetMode="External"/><Relationship Id="rId228" Type="http://schemas.openxmlformats.org/officeDocument/2006/relationships/hyperlink" Target="https://www.sec.gov/Archives/edgar/data/1826011/000149315224041316/ex10-35.htm" TargetMode="External"/><Relationship Id="rId229" Type="http://schemas.openxmlformats.org/officeDocument/2006/relationships/hyperlink" Target="https://www.sec.gov/Archives/edgar/data/1826011/000149315224041316/ex10-36.htm" TargetMode="External"/><Relationship Id="rId230" Type="http://schemas.openxmlformats.org/officeDocument/2006/relationships/hyperlink" Target="https://www.sec.gov/Archives/edgar/data/1826011/000149315224041316/ex10-37.htm" TargetMode="External"/><Relationship Id="rId231" Type="http://schemas.openxmlformats.org/officeDocument/2006/relationships/hyperlink" Target="https://www.sec.gov/Archives/edgar/data/1826011/000149315224041316/ex10-38.htm" TargetMode="External"/><Relationship Id="rId232" Type="http://schemas.openxmlformats.org/officeDocument/2006/relationships/hyperlink" Target="https://www.sec.gov/Archives/edgar/data/1826011/000149315224041316/ex10-39.htm" TargetMode="External"/><Relationship Id="rId233" Type="http://schemas.openxmlformats.org/officeDocument/2006/relationships/hyperlink" Target="https://www.sec.gov/Archives/edgar/data/1826011/000149315224041316/ex10-40.htm" TargetMode="External"/><Relationship Id="rId234" Type="http://schemas.openxmlformats.org/officeDocument/2006/relationships/hyperlink" Target="https://www.sec.gov/Archives/edgar/data/1826011/000149315224041316/ex10-41.htm" TargetMode="External"/><Relationship Id="rId235" Type="http://schemas.openxmlformats.org/officeDocument/2006/relationships/hyperlink" Target="https://www.sec.gov/Archives/edgar/data/1826011/000149315224049374/ex10-1.htm" TargetMode="External"/><Relationship Id="rId236" Type="http://schemas.openxmlformats.org/officeDocument/2006/relationships/hyperlink" Target="https://www.sec.gov/Archives/edgar/data/1826011/000149315224049374/ex10-2.htm" TargetMode="External"/><Relationship Id="rId237" Type="http://schemas.openxmlformats.org/officeDocument/2006/relationships/hyperlink" Target="https://www.sec.gov/Archives/edgar/data/1826011/000149315225003319/ex10-1.htm" TargetMode="External"/><Relationship Id="rId238" Type="http://schemas.openxmlformats.org/officeDocument/2006/relationships/hyperlink" Target="https://www.sec.gov/Archives/edgar/data/1826011/000149315225003319/ex10-2.htm" TargetMode="External"/><Relationship Id="rId239" Type="http://schemas.openxmlformats.org/officeDocument/2006/relationships/hyperlink" Target="https://www.sec.gov/Archives/edgar/data/1826011/000149315225003319/ex10-3.htm" TargetMode="External"/><Relationship Id="rId240" Type="http://schemas.openxmlformats.org/officeDocument/2006/relationships/hyperlink" Target="https://www.sec.gov/Archives/edgar/data/1826011/000149315225003319/ex10-4.htm" TargetMode="External"/><Relationship Id="rId243" Type="http://schemas.openxmlformats.org/officeDocument/2006/relationships/hyperlink" Target="https://www.sec.gov/Archives/edgar/data/1826011/000149315225003319/ex10-5.htm" TargetMode="External"/><Relationship Id="rId244" Type="http://schemas.openxmlformats.org/officeDocument/2006/relationships/hyperlink" Target="https://www.sec.gov/Archives/edgar/data/1826011/000149315224049374/ex10-3.htm" TargetMode="External"/><Relationship Id="rId245" Type="http://schemas.openxmlformats.org/officeDocument/2006/relationships/hyperlink" Target="https://www.sec.gov/Archives/edgar/data/1826011/000149315224050891/ex10-1.htm" TargetMode="External"/><Relationship Id="rId246" Type="http://schemas.openxmlformats.org/officeDocument/2006/relationships/hyperlink" Target="https://www.sec.gov/Archives/edgar/data/1826011/000149315224050891/ex10-2.htm" TargetMode="External"/><Relationship Id="rId247" Type="http://schemas.openxmlformats.org/officeDocument/2006/relationships/hyperlink" Target="https://www.sec.gov/Archives/edgar/data/1826011/000149315224050891/ex10-3.htm" TargetMode="External"/><Relationship Id="rId248" Type="http://schemas.openxmlformats.org/officeDocument/2006/relationships/hyperlink" Target="https://www.sec.gov/Archives/edgar/data/0001826011/000149315225004502/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2025-04-15T16:07:23Z</dcterms:created>
  <dcterms:modified xsi:type="dcterms:W3CDTF">2025-04-15T16:07:23Z</dcterms:modified>
</cp:coreProperties>
</file>